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rīcības plānā norādīto, ka Kopējās lauksaimniecības politikas (KLP) finansējums aptver tikai daļu no mērķiem, kas paredzēti rīcības plānā minētajiem četriem attīstības virzieniem, un mērķu sasniegšanai būs nepieciešami citi finanšu instrumenti, lūdzam rīkojuma projektu papildināt ar punktu, kas paredz noteikt, ka ministrijām un citām atbildīgām institūcijām rīcības plānā paredzēto mērķu un pasākumu īstenošanu jānodrošina pieejamo Eiropas Savienības politiku instrumentu un pārējās ārvalstu finanšu palīdzības finansējuma ietvaros, kā arī pieejamo valsts budžeta līdzekļu ietvaros, nepieciešamības gadījumā vērtējot pasākumu īstenošanas iespējamību arī citu finansēšanas instrumentu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atbildīgām institūcijām, izstrādājot Latvijas Valsts un reģionu partnerības plānu 2028.–2034. gadam, ņemt vērā plānā noteiktos mērķus un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agrīno Valsts un reģionu partnerības plānu izstrādes stadiju, kā arī ierobežoto finansējuma apjomu VRP plānam, lūdzam svītrot rīkojuma projekta 3. punktu un vienoties par nepieciešamajām investīcijām VRP plāna izstrādes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rīcības plāna 21., 22. un 23.lapā informāciju par akcīzes nodokļa piemērošanu dīzeļdegvielai, ko izmanto lauksaimniecībā. Vēršam uzmanību uz to, ka akcīzes nodokļa atbrīvojumu dīzeļdegvielai, ko izmanto lauksaimniecībā saskaņā ar likuma "Par akcīzes nodokli" 18.panta piekto daļu, nepiemēro jau kopš 2015.gada 1.jūlija. Sākot ar minēto datumu tika noteikta samazinātā akcīzes nodokļa likme marķētajai dīzeļdegvielai, ko izmanto lauksaimniecībā, kā arī zvejniecībā saskaņā ar likuma "Par akcīzes nodokli" 18.panta 6.</w:t>
            </w:r>
            <w:r w:rsidR="00000000" w:rsidRPr="00000000" w:rsidDel="00000000">
              <w:rPr>
                <w:vertAlign w:val="superscript"/>
                <w:rtl w:val="0"/>
              </w:rPr>
              <w:t xml:space="preserve">4</w:t>
            </w:r>
            <w:r w:rsidR="00000000" w:rsidRPr="00000000" w:rsidDel="00000000">
              <w:rPr>
                <w:rtl w:val="0"/>
              </w:rPr>
              <w:t xml:space="preserve"> daļu. Līdz ar to ierosinām vārdus "kas saņem akcīzes nodokļa atbrīvojumu dīzeļdegvielai" aizstāt ar vārdiem "kuras ir tiesīgas iegādāties marķēto dīzeļdegvielu, kurai piemēro akcīzes nodokļa atvieglojumu".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3.3. punktu “Konkurētspējīga un efektīva uzņēmējdarbība lauksaimniecībā, lielākas pievienotās vērtības radīšanai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sadaļā II. Mērķis: finanšu datu nepietiekama izmantošana lēmumu pieņemšanā nepieciešams precizēt sniegto informāciju, norādot, ka grāmatvedības uzskaiti divkāršā ieraksta sistēmā kārto ne tikai uzņēmumi, kas ir Gada pārskatu un konsolidēto gada pārskatu likuma subjekti un uzņēmumu ienākuma nodokļa maksātāji, bet arī uzņēmumi, kas ir iedzīvotāju ienākuma nodokļa maksātāji un grāmatvedību kārto atbilstoši Ministru kabineta 2022. gada 1. marta noteikumiem Nr. 145 “Kārtība, kādā uzņēmumi, kuri kārto grāmatvedību divkāršā ieraksta sistēmā un ir iedzīvotāju ienākuma nodokļa maksātāji par ienākumiem no saimnieciskās darbības, sagatavo un iesniedz finanšu pārskatu” (turpmāk – noteikumi Nr. 145). Atbilstoši noteikumiem Nr. 145 minētie uzņēmumi sagatavo finanšu pārskatu, kas sastāv no bilances un ieņēmumu un izdevumu pārskata, un iesniedz to Valsts ieņēmumu dienestā kopā ar iedzīvotāju gada ienākumu deklarāciju. Minētajā deklarācijā ir iekļauts plāna 4.tabulā minētais D3</w:t>
            </w:r>
            <w:r w:rsidR="00000000" w:rsidRPr="00000000" w:rsidDel="00000000">
              <w:rPr>
                <w:vertAlign w:val="superscript"/>
                <w:rtl w:val="0"/>
              </w:rPr>
              <w:t xml:space="preserve">1</w:t>
            </w:r>
            <w:r w:rsidR="00000000" w:rsidRPr="00000000" w:rsidDel="00000000">
              <w:rPr>
                <w:rtl w:val="0"/>
              </w:rPr>
              <w:t xml:space="preserve"> pielikums, kuru aizpilda nodokļa maksātāji, kas veic saimniecisko darbību un kārto grāmatvedību divkāršā ieraksta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Kucina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Izstrādātās tiesību akta lietas nosaukums liecina, ka tas būtu plāna projekts, vienlaikus tiesību akta lietas pasē kā tiesību akta veids nav norādīts plāna projekts un arī tas nav izstrādāts atbilstoši prasībām, ko attiecībā uz plāna projekta izstrādi paredz Ministru kabineta 2014.gada 2.decembra noteikumi Nr.737 “Attīstības plānošanas dokumentu izstrādes un ietekmes izvērtēšanas noteikumi”. Attiecīgi lūdzam pārskatīt un precizēt tiesību akta lietas nosaukumu, veidu vai arī tā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lēmumi par atbalsta jomām un finansējuma apjomu ir pieņemami valsts budžeta un Valsts un reģionu partnerības plāna izstrādes procesā, tai skaitā par investīciju tvērumu, mērķa grupām u.c. Ņemot vērā minēto, lūdzam precizēt sadaļas 3.3. “Konkurētspējīga un efektīva uzņēmējdarbība lauksaimniecībā, lielākas pievienotās vērtības radīšanai tautsaimniecībā” IV apakšsadaļas “Risinājumi” 3. punktu (25.lpp), nenorādot konkrētas atbalsta jomas, kas būtu finansējamas VRP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nav pieņemti lēmumi par finansējuma sadalījumu Valsts un reģionu partnerības plāna ietvaros un Kopējai lauksaimniecības politikai pieejamo aploksni, lūdzam precizēt Plāna sadaļu 3.5. “Riska vadība ar līdzsvarotu atbildību”, 36.lpp. 5. rindkopā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krīzes maksājums ir jāparedz no KLP iezīmētā finansējuma, lai kompensētu ievērojamus zaudējumus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rīcības plānā lietoto jēdzienu “Finanšu veselība” aizstāt ar “finansiālais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Kucina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16.lpp. atrunāto par abreviatūras VID lietošanu, lūdzam rīcības plāna 22.lpp. vārdus “Valsts ieņēmumu dienestā” aizstāt ar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Kucina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11.lpp atkāpes teikumu - EK 2025. gada 3. septembrī pieņēma otro nozaru priekšlikumu paketi, tā pabeidzot satvaru nākamajam ES ilgtermiņa budžetam 2028.– 2034. gadam - ņemot vērā to, ka ar EK priekšlikumiem ietvars vēl netiek asptiprināts.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2025. gada 3. septembrī pieņēma otro nozaru priekšlikumu paketi, tā noslēdzot sākotnējo priekšlikumu iesniegšanu nākamajam ES ilgtermiņa budžetam 2028.– 2034. gadam. Tālākā tiesību aktu un ES daudzgadu budžeta ietvara apstiprināšana norisināsies sarunās starp ES lēmējinstitūcijām - ES Padomi jeb dalībvalstīm un Eiropas Parlamentu.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Bronka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rīcības plāna 2.2.sadaļu papildināt ar skaidrojošu atsauci par izmantoto terminu “Valsts un reģionu partnerības plāns”, sniedzot īsu informāciju par to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Plāna projektā pamīšus lietoti gan saīsinājumi “VRP”, gan “NRP”, kas nozīmē vienu un to pašu. Lūdzam salāgot šī saīsinājuma lietojumu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