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11</w:t>
            </w:r>
            <w:r w:rsidR="00000000" w:rsidRPr="00000000" w:rsidDel="00000000">
              <w:rPr>
                <w:rtl w:val="0"/>
              </w:rPr>
              <w:t xml:space="preserve"> Valsts nekustamā īpašuma informācijas sistēmā tiek uzskaitīti visi valsts nekustamie īpašumi un valsts iestāžu lietoti nekustamie īpašumi, izņemot tie īpašumi, par kuriem nav publiskojama informācija atbilstoši citu normatīvo aktu prasībām. Par Valsts nekustamā īpašuma informācijas sistēmā uzskaitāmajiem valsts nekustamajiem īpašumiem un valsts iestāžu lietotajiem nekustamajiem īpašumiem netiek  iekļauta tāda informācija, kura nav publiskojama.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(turpmāk - likums) 10. panta otrā daļa noteic, ka ievērojot labas pārvaldības principu, iestāde pēc savas iniciatīvas nodrošina piekļuvi noteikta veida vispārpieejamai informācijai. Savukārt, likuma 10. panta 2.1 daļa noteic, ka vispārpieejamai informācijai, ko ievieto internetā, iestāde pēc savas iniciatīvas, ja tas lietderīgi, nodrošina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šā panta regulējumu, paredzot VNĪIS uzskaitītās informācijas par valsts iestāžu lietotajiem nekustamajiem īpašumiem publicēšanu kā atvērtos datus Latvijas Atvērto Datu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19.11.2024.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19.11.2024.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