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9. lapas 2. punktā sadaļā "Tālākās plānotās darbības" izņemt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sadarbībā ar LVRTC, IZM, AizM, SAB, Cert.lv un VASES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līdz 2024.gada 30.novembrim sagatavot un iesniegt izskatīšanai Ministru kabinetā normatīvo aktu projektus, kas nepieciešami, lai noteiktu Latvijā GOVSATCOM programmas un Drošas savienojamības programmas kompetento iestādi. GOVSATCOM programmas un Drošas savienojamības programmas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protokollēmuma 4. punktā izņemt termiņu līdz kuram sagatavot un iesniegt izskatīšanai Ministru kabinetā normatīvo aktu projektus, kas nepieciešami, lai noteiktu Latvijā GOVSATCOM programmas un Drošas savienojamības programmas kompetento iestādi un īstenotu to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sagatavot un iesniegt izskatīšanai Ministru kabinetā normatīvo aktu projektus, kas nepieciešami, lai noteiktu Latvijā GOVSATCOM programmas un Drošas savienojamības programmas kompetento iestādi. GOVSATCOM programmas un Drošas savienojamības programmas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rtl w:val="0"/>
              </w:rPr>
              <w:t xml:space="preserve">​</w:t>
            </w:r>
            <w:r w:rsidR="00000000" w:rsidRPr="00000000" w:rsidDel="00000000">
              <w:rPr>
                <w:rtl w:val="0"/>
              </w:rPr>
              <w:t xml:space="preserve">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2024. gada 30. novembrim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protokollēmuma 4. punktā izņemt termiņu, kurā izvērtēt GOVSATCOM programmas un Drošas savienojamības programmas kompetentās iestādes darba noslodzi.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Satiksmes ministrijai sadarbībā ar valsts akciju sabiedrību “Latvijas Valsts radio un televīzijas centrs”, Izglītības un zinātnes ministriju, Aizsardzības ministriju, Satversmes aizsardzības biroju, Informācijas tehnoloģiju drošības incidentu novēršanas institūciju - CERT.lv un valsts akciju sabiedrību “Elektroniskie sakari”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19.08.2024.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19.08.2024.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Atzinumi_24-TA-1346.docx</dc:title>
</cp:coreProperties>
</file>

<file path=docProps/custom.xml><?xml version="1.0" encoding="utf-8"?>
<Properties xmlns="http://schemas.openxmlformats.org/officeDocument/2006/custom-properties" xmlns:vt="http://schemas.openxmlformats.org/officeDocument/2006/docPropsVTypes"/>
</file>