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ritošā sastāva vienību, kuras nereģistrē Eiropas ritekļu reģistrā, veidiem, prasības attiecībā uz tām, kā arī kārtību, kādā Valsts dzelzceļa tehniskā inspekcija atļauj šādu ritošā sastāva vienību izmantošanu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Šie noteikumi neattiecas uz lokomotīvēm, vagoniem, motorvilcieniem un motorvagoniem, kas nav vēsturiskā mantojuma dzelzceļa ritošais sastāvs.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"Noteikumi par ritošā sastāva vienību, kuras nereģistrē Eiropas ritekļu reģistrā, veidiem, prasības attiecībā uz tām, kā arī kārtību, kādā Valsts dzelzceļa tehniskā inspekcija atļauj šādu ritošā sastāva vienību izmantošanu" (turpmāk – projekts) 3. punktu, ņemot vērā to, ka no projekta 2.1. apakšpunkta jau izriet, ka projekts attiecas tikai uz tām vienībām, kas ir vēsturiskā mantojuma dzelzceļa ritošais sastāvs.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Lēmumu par nereģistrējamās vienības izmantošanu inspekcija noformē ar atļauju, kurā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21. punktā ietverto regulējumu, ņemot vērā to, ka atļauja (apliecība) parasti ir tiesības apliecinošs dokuments, kas tiek sagatavots, ja administratīvā procesa ietvaros tiek pieņemts labvēlīgs administratīvais akts, savukārt no projekta 21. punkta izriet, ka atļauja ir lēmums, proti, administratīvais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nereģistrējamās vienības ekspluatācijas laikā, veicot uzraudzību atbilstoši </w:t>
            </w:r>
            <w:r w:rsidR="00000000" w:rsidRPr="00000000" w:rsidDel="00000000">
              <w:rPr>
                <w:rtl w:val="0"/>
              </w:rPr>
              <w:t xml:space="preserve">Dzelzceļa likuma</w:t>
            </w:r>
            <w:r w:rsidR="00000000" w:rsidRPr="00000000" w:rsidDel="00000000">
              <w:rPr>
                <w:rtl w:val="0"/>
              </w:rPr>
              <w:t xml:space="preserve"> prasībām, inspekcija konstatē, ka nereģistrējamās vienības neatbilst kādai no piemērojamām pamatprasībām, inspekcija piemēro pagaidu drošības pasākumus, tostarp ierobežo vai aizliedz nereģistrējamās vienības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23. punkta otrā teikuma izriet, ka noteiktu izmaiņu gadījumā tiks lemts par jaunas atļaujas izsniegšanu iepriekš izsniegtās atļaujas vietā. Lūdzam skaidrot projekta sākotnējās ietekmes novērtējuma ziņojumā (turpmāk – anotācija), kāda būs rīcība ar sākotnēji izsniegto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Nereģistrējamās vienības, kuru izmantošana saskaņā ar </w:t>
            </w:r>
            <w:r w:rsidR="00000000" w:rsidRPr="00000000" w:rsidDel="00000000">
              <w:rPr>
                <w:rtl w:val="0"/>
              </w:rPr>
              <w:t xml:space="preserve">Ministru kabineta 2020. gada 9. jūnija noteikumiem Nr. 374 ,,Dzelzceļa savstarpējās izmantojamības noteikumi” </w:t>
            </w:r>
            <w:r w:rsidR="00000000" w:rsidRPr="00000000" w:rsidDel="00000000">
              <w:rPr>
                <w:rtl w:val="0"/>
              </w:rPr>
              <w:t xml:space="preserve"> ir atļauta līdz šo noteikumu spēkā stāšanās brīdim, atļauts izmantot, nesaņemot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atļauju, ciktāl tas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pēc projekta spēkā stāšanās tiks piemēroti projekta 24. punktā minētie Ministru kabineta 2020. gada 9. jūnija noteikumi Nr. 374 "Dzelzceļa savstarpējās izmantojamības noteikumi" (turpmāk – Noteikumi), ja saskaņā ar tiem līdz projekta spēkā stāšanās brīdim tiek izsniegtas atļaujas nereģistrējamo vienību izmantošanai. Anotācijā nav skaidrots, vai pēc projekta spēkā stāšanās nereģistrējamo vienību izmantošanai būs jāsaņem atļauja tikai saskaņā ar projektā noteikto, vai arī persona varēs izvēlēties šādu atļauju saņemt saskaņā ar Noteikumos noteikto kārtību. Vienlaikus nav izsecināms, vai Noteikumos tiks veikti kādi grozījumi, lai turpmāk atļaujas būtu saņemamas tikai saskaņā ar projektā noteikto kārtību. Vēršam uzmanību uz to, ka personai ir jābūt skaidram, saskaņā ar kuru normatīvo aktu tam ir jāprasa izsniegt atļauja nereģistrējamās vienības izmantošanai. Vienlaikus informējam, ka nav pieļaujams, ka vienu un to pašu jautājumu regulē divi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Nereģistrējamās vienības, kuru izmantošana saskaņā ar </w:t>
            </w:r>
            <w:r w:rsidR="00000000" w:rsidRPr="00000000" w:rsidDel="00000000">
              <w:rPr>
                <w:rtl w:val="0"/>
              </w:rPr>
              <w:t xml:space="preserve">Ministru kabineta 2020. gada 9. jūnija noteikumiem Nr. 374 ,,Dzelzceļa savstarpējās izmantojamības noteikumi” </w:t>
            </w:r>
            <w:r w:rsidR="00000000" w:rsidRPr="00000000" w:rsidDel="00000000">
              <w:rPr>
                <w:rtl w:val="0"/>
              </w:rPr>
              <w:t xml:space="preserve"> ir atļauta līdz šo noteikumu spēkā stāšanās brīdim, atļauts izmantot, nesaņemot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atļauju, ciktāl tas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anotācijā projekta 24. punktā ietverto nosacījumu, ka atļauts izmantot nereģistrējamās vienības, kuru izmantošana atļauta saskaņā ar Noteikumos noteikto kārtību, nesaņemot projektā paredzēto atļauju, </w:t>
            </w:r>
            <w:r w:rsidR="00000000" w:rsidRPr="00000000" w:rsidDel="00000000">
              <w:rPr>
                <w:u w:val="single"/>
                <w:rtl w:val="0"/>
              </w:rPr>
              <w:t xml:space="preserve">ciktāl tas nav pretrunā ar projektā noteikto</w:t>
            </w:r>
            <w:r w:rsidR="00000000" w:rsidRPr="00000000" w:rsidDel="00000000">
              <w:rPr>
                <w:rtl w:val="0"/>
              </w:rPr>
              <w:t xml:space="preserve">. Proti, vai saskaņā ar Noteikumos noteikto kārtību izsniegtās atļaujas ietvers to informāciju, kas norādāma atļaujās saskaņā ar projektā noteikto. Vēršam uzmanību uz to, ka projekta 24. punktā ietvertajam regulējumam nav jēgas, ja to faktiski nevarēs piemērot, jo Noteikumos ietvertās prasības atšķiras no projektā ietvertajām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22-TA-3452</w:t>
    </w:r>
    <w:r>
      <w:br/>
    </w:r>
    <w:r w:rsidR="00000000" w:rsidRPr="00000000" w:rsidDel="00000000">
      <w:rPr>
        <w:rtl w:val="0"/>
      </w:rPr>
      <w:t xml:space="preserve">Izdrukāts 28.12.2022.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22-TA-3452</w:t>
    </w:r>
    <w:r>
      <w:br/>
    </w:r>
    <w:r w:rsidR="00000000" w:rsidRPr="00000000" w:rsidDel="00000000">
      <w:rPr>
        <w:rtl w:val="0"/>
      </w:rPr>
      <w:t xml:space="preserve">Izdrukāts 28.12.2022.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Atzinumi_22-TA-3452.docx</dc:title>
</cp:coreProperties>
</file>

<file path=docProps/custom.xml><?xml version="1.0" encoding="utf-8"?>
<Properties xmlns="http://schemas.openxmlformats.org/officeDocument/2006/custom-properties" xmlns:vt="http://schemas.openxmlformats.org/officeDocument/2006/docPropsVTypes"/>
</file>