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0A3A2" w14:textId="77777777" w:rsidR="00D859C2" w:rsidRDefault="00C076AA" w:rsidP="00F338FB">
      <w:pPr>
        <w:spacing w:after="0" w:line="240" w:lineRule="auto"/>
        <w:jc w:val="center"/>
        <w:rPr>
          <w:rFonts w:ascii="Times New Roman" w:hAnsi="Times New Roman"/>
          <w:sz w:val="28"/>
          <w:szCs w:val="28"/>
          <w:lang w:val="lv-LV"/>
        </w:rPr>
      </w:pPr>
      <w:r>
        <w:rPr>
          <w:rFonts w:ascii="Times New Roman" w:hAnsi="Times New Roman"/>
          <w:sz w:val="28"/>
          <w:szCs w:val="28"/>
          <w:lang w:val="lv-LV"/>
        </w:rPr>
        <w:t>Rīgā</w:t>
      </w:r>
    </w:p>
    <w:p w14:paraId="0E424111" w14:textId="77777777" w:rsidR="00F338FB" w:rsidRDefault="00F338FB" w:rsidP="00F338FB">
      <w:pPr>
        <w:spacing w:after="0" w:line="240" w:lineRule="auto"/>
        <w:jc w:val="center"/>
        <w:rPr>
          <w:rFonts w:ascii="Times New Roman" w:hAnsi="Times New Roman"/>
          <w:sz w:val="28"/>
          <w:szCs w:val="28"/>
          <w:lang w:val="lv-LV"/>
        </w:rPr>
      </w:pPr>
    </w:p>
    <w:p w14:paraId="1EC6DA08" w14:textId="1BB2543B" w:rsidR="00517616" w:rsidRDefault="00C076AA" w:rsidP="00F338FB">
      <w:pPr>
        <w:spacing w:after="0" w:line="240" w:lineRule="auto"/>
        <w:rPr>
          <w:rFonts w:ascii="Times New Roman" w:hAnsi="Times New Roman"/>
          <w:sz w:val="28"/>
          <w:szCs w:val="28"/>
          <w:lang w:val="lv-LV"/>
        </w:rPr>
      </w:pPr>
      <w:r w:rsidRPr="00784FFA">
        <w:rPr>
          <w:rFonts w:ascii="Times New Roman" w:hAnsi="Times New Roman"/>
          <w:sz w:val="28"/>
          <w:szCs w:val="28"/>
          <w:lang w:val="lv-LV"/>
        </w:rPr>
        <w:t>Datums skatāms laika zīmogā Nr. </w:t>
      </w:r>
      <w:r w:rsidRPr="00784FFA">
        <w:rPr>
          <w:rFonts w:ascii="Times New Roman" w:hAnsi="Times New Roman"/>
          <w:noProof/>
          <w:sz w:val="28"/>
          <w:szCs w:val="28"/>
          <w:lang w:val="lv-LV"/>
        </w:rPr>
        <w:t>3.1-20/2020/278</w:t>
      </w:r>
    </w:p>
    <w:p w14:paraId="4DA728DE" w14:textId="77777777" w:rsidR="00E849D2" w:rsidRPr="00784FFA" w:rsidRDefault="00C076AA" w:rsidP="00F338FB">
      <w:pPr>
        <w:spacing w:after="0" w:line="240" w:lineRule="auto"/>
        <w:rPr>
          <w:rFonts w:ascii="Times New Roman" w:hAnsi="Times New Roman"/>
          <w:sz w:val="28"/>
          <w:szCs w:val="28"/>
          <w:lang w:val="lv-LV"/>
        </w:rPr>
      </w:pPr>
      <w:r>
        <w:rPr>
          <w:rFonts w:ascii="Times New Roman" w:hAnsi="Times New Roman"/>
          <w:sz w:val="28"/>
          <w:szCs w:val="28"/>
          <w:lang w:val="lv-LV"/>
        </w:rPr>
        <w:t>Uz . Nr. </w:t>
      </w:r>
    </w:p>
    <w:p w14:paraId="20D79CD3" w14:textId="77777777" w:rsidR="00F338FB" w:rsidRDefault="00F338FB" w:rsidP="00F338FB">
      <w:pPr>
        <w:spacing w:after="0" w:line="240" w:lineRule="auto"/>
        <w:jc w:val="right"/>
        <w:rPr>
          <w:rFonts w:ascii="Times New Roman" w:hAnsi="Times New Roman"/>
          <w:sz w:val="28"/>
          <w:szCs w:val="28"/>
          <w:lang w:val="lv-LV"/>
        </w:rPr>
      </w:pPr>
    </w:p>
    <w:p w14:paraId="0AA80BC5" w14:textId="77777777" w:rsidR="00CD56A4" w:rsidRDefault="00C076AA" w:rsidP="00CD56A4">
      <w:pPr>
        <w:spacing w:after="0" w:line="240" w:lineRule="auto"/>
        <w:jc w:val="right"/>
        <w:rPr>
          <w:rFonts w:ascii="Times New Roman" w:hAnsi="Times New Roman"/>
          <w:b/>
          <w:bCs/>
          <w:sz w:val="26"/>
          <w:szCs w:val="26"/>
          <w:lang w:val="lv-LV"/>
        </w:rPr>
      </w:pPr>
      <w:r w:rsidRPr="005F02A8">
        <w:rPr>
          <w:rFonts w:ascii="Times New Roman" w:hAnsi="Times New Roman"/>
          <w:b/>
          <w:bCs/>
          <w:sz w:val="26"/>
          <w:szCs w:val="26"/>
          <w:lang w:val="lv-LV"/>
        </w:rPr>
        <w:t xml:space="preserve">Vides aizsardzības un </w:t>
      </w:r>
    </w:p>
    <w:p w14:paraId="6BD8321F" w14:textId="77777777" w:rsidR="00CD56A4" w:rsidRPr="00A25499" w:rsidRDefault="00C076AA" w:rsidP="00CD56A4">
      <w:pPr>
        <w:spacing w:after="0" w:line="240" w:lineRule="auto"/>
        <w:jc w:val="right"/>
        <w:rPr>
          <w:rFonts w:ascii="Times New Roman" w:hAnsi="Times New Roman"/>
          <w:sz w:val="26"/>
          <w:szCs w:val="26"/>
          <w:lang w:val="lv-LV"/>
        </w:rPr>
      </w:pPr>
      <w:r w:rsidRPr="005F02A8">
        <w:rPr>
          <w:rFonts w:ascii="Times New Roman" w:hAnsi="Times New Roman"/>
          <w:b/>
          <w:bCs/>
          <w:sz w:val="26"/>
          <w:szCs w:val="26"/>
          <w:lang w:val="lv-LV"/>
        </w:rPr>
        <w:t xml:space="preserve">reģionālās attīstības </w:t>
      </w:r>
      <w:r w:rsidRPr="00A25499">
        <w:rPr>
          <w:rFonts w:ascii="Times New Roman" w:hAnsi="Times New Roman"/>
          <w:b/>
          <w:sz w:val="26"/>
          <w:szCs w:val="26"/>
          <w:lang w:val="lv-LV"/>
        </w:rPr>
        <w:t>ministrijai</w:t>
      </w:r>
    </w:p>
    <w:p w14:paraId="6007B9E2" w14:textId="77777777" w:rsidR="00CD56A4" w:rsidRPr="00A25499" w:rsidRDefault="00CD56A4" w:rsidP="00CD56A4">
      <w:pPr>
        <w:spacing w:after="0" w:line="240" w:lineRule="auto"/>
        <w:rPr>
          <w:rFonts w:ascii="Times New Roman" w:hAnsi="Times New Roman"/>
          <w:i/>
          <w:noProof/>
          <w:sz w:val="26"/>
          <w:szCs w:val="26"/>
          <w:lang w:val="lv-LV"/>
        </w:rPr>
      </w:pPr>
    </w:p>
    <w:p w14:paraId="2372FF3A" w14:textId="77777777" w:rsidR="00CD56A4" w:rsidRPr="00A25499" w:rsidRDefault="00C076AA" w:rsidP="00CD56A4">
      <w:pPr>
        <w:spacing w:after="0" w:line="240" w:lineRule="auto"/>
        <w:rPr>
          <w:rFonts w:ascii="Times New Roman" w:hAnsi="Times New Roman"/>
          <w:i/>
          <w:sz w:val="26"/>
          <w:szCs w:val="26"/>
          <w:lang w:val="lv-LV"/>
        </w:rPr>
      </w:pPr>
      <w:r w:rsidRPr="00A25499">
        <w:rPr>
          <w:rFonts w:ascii="Times New Roman" w:hAnsi="Times New Roman"/>
          <w:i/>
          <w:noProof/>
          <w:sz w:val="26"/>
          <w:szCs w:val="26"/>
          <w:lang w:val="lv-LV"/>
        </w:rPr>
        <w:t xml:space="preserve">Par </w:t>
      </w:r>
      <w:r w:rsidRPr="00A25499">
        <w:rPr>
          <w:rFonts w:ascii="Times New Roman" w:hAnsi="Times New Roman"/>
          <w:i/>
          <w:sz w:val="26"/>
          <w:szCs w:val="26"/>
          <w:lang w:val="lv-LV"/>
        </w:rPr>
        <w:t xml:space="preserve">VSS </w:t>
      </w:r>
      <w:r w:rsidRPr="00A25499">
        <w:rPr>
          <w:rFonts w:ascii="Times New Roman" w:hAnsi="Times New Roman"/>
          <w:i/>
          <w:noProof/>
          <w:sz w:val="26"/>
          <w:szCs w:val="26"/>
          <w:lang w:val="lv-LV"/>
        </w:rPr>
        <w:t>protokolu</w:t>
      </w:r>
      <w:r w:rsidRPr="00A25499">
        <w:rPr>
          <w:rFonts w:ascii="Times New Roman" w:hAnsi="Times New Roman"/>
          <w:i/>
          <w:sz w:val="26"/>
          <w:szCs w:val="26"/>
          <w:lang w:val="lv-LV"/>
        </w:rPr>
        <w:t xml:space="preserve"> Nr.</w:t>
      </w:r>
      <w:r>
        <w:rPr>
          <w:rFonts w:ascii="Times New Roman" w:hAnsi="Times New Roman"/>
          <w:i/>
          <w:sz w:val="26"/>
          <w:szCs w:val="26"/>
          <w:lang w:val="lv-LV"/>
        </w:rPr>
        <w:t>36</w:t>
      </w:r>
      <w:r w:rsidRPr="00A25499">
        <w:rPr>
          <w:rFonts w:ascii="Times New Roman" w:hAnsi="Times New Roman"/>
          <w:i/>
          <w:sz w:val="26"/>
          <w:szCs w:val="26"/>
          <w:lang w:val="lv-LV"/>
        </w:rPr>
        <w:t xml:space="preserve"> </w:t>
      </w:r>
      <w:r>
        <w:rPr>
          <w:rFonts w:ascii="Times New Roman" w:hAnsi="Times New Roman"/>
          <w:i/>
          <w:sz w:val="26"/>
          <w:szCs w:val="26"/>
          <w:lang w:val="lv-LV"/>
        </w:rPr>
        <w:t>12</w:t>
      </w:r>
      <w:r w:rsidRPr="00A25499">
        <w:rPr>
          <w:rFonts w:ascii="Times New Roman" w:hAnsi="Times New Roman"/>
          <w:i/>
          <w:sz w:val="26"/>
          <w:szCs w:val="26"/>
          <w:lang w:val="lv-LV"/>
        </w:rPr>
        <w:t>.§ (VSS-</w:t>
      </w:r>
      <w:r>
        <w:rPr>
          <w:rFonts w:ascii="Times New Roman" w:hAnsi="Times New Roman"/>
          <w:i/>
          <w:sz w:val="26"/>
          <w:szCs w:val="26"/>
          <w:lang w:val="lv-LV"/>
        </w:rPr>
        <w:t>75</w:t>
      </w:r>
      <w:r w:rsidRPr="00A25499">
        <w:rPr>
          <w:rFonts w:ascii="Times New Roman" w:hAnsi="Times New Roman"/>
          <w:i/>
          <w:sz w:val="26"/>
          <w:szCs w:val="26"/>
          <w:lang w:val="lv-LV"/>
        </w:rPr>
        <w:t>5)</w:t>
      </w:r>
    </w:p>
    <w:p w14:paraId="0DB60BAC" w14:textId="77777777" w:rsidR="00CD56A4" w:rsidRPr="00A25499" w:rsidRDefault="00CD56A4" w:rsidP="00CD56A4">
      <w:pPr>
        <w:spacing w:after="0" w:line="240" w:lineRule="auto"/>
        <w:ind w:firstLine="851"/>
        <w:rPr>
          <w:rFonts w:ascii="Times New Roman" w:hAnsi="Times New Roman"/>
          <w:sz w:val="26"/>
          <w:szCs w:val="26"/>
          <w:lang w:val="lv-LV"/>
        </w:rPr>
      </w:pPr>
    </w:p>
    <w:p w14:paraId="1BEA706C" w14:textId="77777777" w:rsidR="00CD56A4" w:rsidRPr="00A25499" w:rsidRDefault="00C076AA" w:rsidP="00CD56A4">
      <w:pPr>
        <w:spacing w:after="120"/>
        <w:ind w:firstLine="709"/>
        <w:jc w:val="both"/>
        <w:rPr>
          <w:rFonts w:ascii="Times New Roman" w:hAnsi="Times New Roman"/>
          <w:sz w:val="26"/>
          <w:szCs w:val="26"/>
          <w:lang w:val="lv-LV"/>
        </w:rPr>
      </w:pPr>
      <w:r w:rsidRPr="00A25499">
        <w:rPr>
          <w:rFonts w:ascii="Times New Roman" w:hAnsi="Times New Roman"/>
          <w:sz w:val="26"/>
          <w:szCs w:val="26"/>
          <w:lang w:val="lv-LV"/>
        </w:rPr>
        <w:t xml:space="preserve">Ekonomikas ministrija </w:t>
      </w:r>
      <w:r>
        <w:rPr>
          <w:rFonts w:ascii="Times New Roman" w:hAnsi="Times New Roman"/>
          <w:sz w:val="26"/>
          <w:szCs w:val="26"/>
          <w:lang w:val="lv-LV"/>
        </w:rPr>
        <w:t>sadarbībā ar Patērētāju tiesību aizsardzības centru</w:t>
      </w:r>
      <w:r w:rsidRPr="005F02A8">
        <w:rPr>
          <w:rFonts w:ascii="Times New Roman" w:hAnsi="Times New Roman"/>
          <w:sz w:val="26"/>
          <w:szCs w:val="26"/>
          <w:lang w:val="lv-LV"/>
        </w:rPr>
        <w:t xml:space="preserve"> (turpmāk – </w:t>
      </w:r>
      <w:r>
        <w:rPr>
          <w:rFonts w:ascii="Times New Roman" w:hAnsi="Times New Roman"/>
          <w:sz w:val="26"/>
          <w:szCs w:val="26"/>
          <w:lang w:val="lv-LV"/>
        </w:rPr>
        <w:t>PTAC</w:t>
      </w:r>
      <w:r w:rsidRPr="005F02A8">
        <w:rPr>
          <w:rFonts w:ascii="Times New Roman" w:hAnsi="Times New Roman"/>
          <w:sz w:val="26"/>
          <w:szCs w:val="26"/>
          <w:lang w:val="lv-LV"/>
        </w:rPr>
        <w:t xml:space="preserve">) ir </w:t>
      </w:r>
      <w:r>
        <w:rPr>
          <w:rFonts w:ascii="Times New Roman" w:hAnsi="Times New Roman"/>
          <w:sz w:val="26"/>
          <w:szCs w:val="26"/>
          <w:lang w:val="lv-LV"/>
        </w:rPr>
        <w:t xml:space="preserve">apzinājusi papildu iebildumus par </w:t>
      </w:r>
      <w:r w:rsidRPr="005F02A8">
        <w:rPr>
          <w:rFonts w:ascii="Times New Roman" w:hAnsi="Times New Roman"/>
          <w:sz w:val="26"/>
          <w:szCs w:val="26"/>
          <w:lang w:val="lv-LV"/>
        </w:rPr>
        <w:t xml:space="preserve">Vides aizsardzības un reģionālās attīstības ministrijas sagatavoto un 2020. gada 10. septembrī Valsts sekretāru sanāksmē izsludināto </w:t>
      </w:r>
      <w:r>
        <w:rPr>
          <w:rFonts w:ascii="Times New Roman" w:hAnsi="Times New Roman"/>
          <w:sz w:val="26"/>
          <w:szCs w:val="26"/>
          <w:lang w:val="lv-LV"/>
        </w:rPr>
        <w:t xml:space="preserve">Ministru kabineta </w:t>
      </w:r>
      <w:r w:rsidRPr="005F02A8">
        <w:rPr>
          <w:rFonts w:ascii="Times New Roman" w:hAnsi="Times New Roman"/>
          <w:sz w:val="26"/>
          <w:szCs w:val="26"/>
          <w:lang w:val="lv-LV"/>
        </w:rPr>
        <w:t>noteikumu projektu “Noteikumi par īpašiem ierobežojumiem attiecībā uz darbībām ar ozona slāni noārdošām vielām un fluorētām siltumnīcefekta gāzēm”</w:t>
      </w:r>
      <w:r>
        <w:rPr>
          <w:rFonts w:ascii="Times New Roman" w:hAnsi="Times New Roman"/>
          <w:sz w:val="26"/>
          <w:szCs w:val="26"/>
          <w:lang w:val="lv-LV"/>
        </w:rPr>
        <w:t xml:space="preserve">, kā arī tā anotāciju </w:t>
      </w:r>
      <w:r w:rsidRPr="005F02A8">
        <w:rPr>
          <w:rFonts w:ascii="Times New Roman" w:hAnsi="Times New Roman"/>
          <w:sz w:val="26"/>
          <w:szCs w:val="26"/>
          <w:lang w:val="lv-LV"/>
        </w:rPr>
        <w:t>(turpmāk – Projekts)</w:t>
      </w:r>
      <w:r>
        <w:rPr>
          <w:rFonts w:ascii="Times New Roman" w:hAnsi="Times New Roman"/>
          <w:color w:val="000000"/>
          <w:sz w:val="26"/>
          <w:szCs w:val="26"/>
          <w:lang w:val="lv-LV"/>
        </w:rPr>
        <w:t>. Lūdzam šos iebildumus ņemt vērā, apkopojot jau iepriekš sniegtos iebildumus, kas nosūtīti ar Ekonomikas ministrijas 2020. gada 28. septembra vēstuli Nr. </w:t>
      </w:r>
      <w:r w:rsidRPr="00153268">
        <w:rPr>
          <w:rFonts w:ascii="Times New Roman" w:hAnsi="Times New Roman"/>
          <w:color w:val="000000"/>
          <w:sz w:val="26"/>
          <w:szCs w:val="26"/>
          <w:lang w:val="lv-LV"/>
        </w:rPr>
        <w:t>3.1-20/2020/263</w:t>
      </w:r>
      <w:r w:rsidRPr="00A25499">
        <w:rPr>
          <w:rFonts w:ascii="Times New Roman" w:hAnsi="Times New Roman"/>
          <w:sz w:val="26"/>
          <w:szCs w:val="26"/>
          <w:lang w:val="lv-LV"/>
        </w:rPr>
        <w:t>.</w:t>
      </w:r>
    </w:p>
    <w:p w14:paraId="0BE795C9" w14:textId="77777777" w:rsidR="00CD56A4" w:rsidRPr="009002FF" w:rsidRDefault="00C076AA" w:rsidP="00CD56A4">
      <w:pPr>
        <w:spacing w:after="120"/>
        <w:ind w:firstLine="709"/>
        <w:jc w:val="both"/>
        <w:rPr>
          <w:rFonts w:ascii="Times New Roman" w:hAnsi="Times New Roman"/>
          <w:sz w:val="26"/>
          <w:szCs w:val="26"/>
          <w:lang w:val="lv-LV"/>
        </w:rPr>
      </w:pPr>
      <w:r w:rsidRPr="005F02A8">
        <w:rPr>
          <w:rFonts w:ascii="Times New Roman" w:hAnsi="Times New Roman"/>
          <w:sz w:val="26"/>
          <w:szCs w:val="26"/>
          <w:lang w:val="lv-LV"/>
        </w:rPr>
        <w:t xml:space="preserve">[1] Projekta </w:t>
      </w:r>
      <w:r>
        <w:rPr>
          <w:rFonts w:ascii="Times New Roman" w:hAnsi="Times New Roman"/>
          <w:sz w:val="26"/>
          <w:szCs w:val="26"/>
          <w:lang w:val="lv-LV"/>
        </w:rPr>
        <w:t>6. un 7</w:t>
      </w:r>
      <w:r w:rsidRPr="005F02A8">
        <w:rPr>
          <w:rFonts w:ascii="Times New Roman" w:hAnsi="Times New Roman"/>
          <w:sz w:val="26"/>
          <w:szCs w:val="26"/>
          <w:lang w:val="lv-LV"/>
        </w:rPr>
        <w:t>.</w:t>
      </w:r>
      <w:r>
        <w:rPr>
          <w:rFonts w:ascii="Times New Roman" w:hAnsi="Times New Roman"/>
          <w:sz w:val="26"/>
          <w:szCs w:val="26"/>
          <w:lang w:val="lv-LV"/>
        </w:rPr>
        <w:t> </w:t>
      </w:r>
      <w:r w:rsidRPr="005F02A8">
        <w:rPr>
          <w:rFonts w:ascii="Times New Roman" w:hAnsi="Times New Roman"/>
          <w:sz w:val="26"/>
          <w:szCs w:val="26"/>
          <w:lang w:val="lv-LV"/>
        </w:rPr>
        <w:t>punkt</w:t>
      </w:r>
      <w:r>
        <w:rPr>
          <w:rFonts w:ascii="Times New Roman" w:hAnsi="Times New Roman"/>
          <w:sz w:val="26"/>
          <w:szCs w:val="26"/>
          <w:lang w:val="lv-LV"/>
        </w:rPr>
        <w:t>ā</w:t>
      </w:r>
      <w:r w:rsidRPr="005F02A8">
        <w:rPr>
          <w:rFonts w:ascii="Times New Roman" w:hAnsi="Times New Roman"/>
          <w:sz w:val="26"/>
          <w:szCs w:val="26"/>
          <w:lang w:val="lv-LV"/>
        </w:rPr>
        <w:t xml:space="preserve"> </w:t>
      </w:r>
      <w:r>
        <w:rPr>
          <w:rFonts w:ascii="Times New Roman" w:hAnsi="Times New Roman"/>
          <w:sz w:val="26"/>
          <w:szCs w:val="26"/>
          <w:lang w:val="lv-LV"/>
        </w:rPr>
        <w:t xml:space="preserve">PTAC un Veselības inspekcijas kompetence attiecībā uz </w:t>
      </w:r>
      <w:r w:rsidRPr="00A100D4">
        <w:rPr>
          <w:rFonts w:ascii="Times New Roman" w:hAnsi="Times New Roman"/>
          <w:sz w:val="26"/>
          <w:szCs w:val="26"/>
          <w:lang w:val="lv-LV"/>
        </w:rPr>
        <w:t>Eiropas Parlamenta un Padomes 2014. gada 16. aprīļa Regulā (EK) Nr. 517/2014 par fluorētām siltumnīcefekta gāzēm un ar ko atceļ Regulu (EK) Nr. 842/2006 (turpmāk – regula Nr. 517/2014)</w:t>
      </w:r>
      <w:r>
        <w:rPr>
          <w:rFonts w:ascii="Times New Roman" w:hAnsi="Times New Roman"/>
          <w:sz w:val="26"/>
          <w:szCs w:val="26"/>
          <w:lang w:val="lv-LV"/>
        </w:rPr>
        <w:t xml:space="preserve"> noteikto prasību izpildi sadalīta tā, ka netiek nodrošināta pilnīga uzraudzība gan attiecībā uz vielām, gan attiecībā uz iekārtām un ražojumiem, kas uzskaitīti </w:t>
      </w:r>
      <w:r w:rsidRPr="00A100D4">
        <w:rPr>
          <w:rFonts w:ascii="Times New Roman" w:hAnsi="Times New Roman"/>
          <w:sz w:val="26"/>
          <w:szCs w:val="26"/>
          <w:lang w:val="lv-LV"/>
        </w:rPr>
        <w:t>regula</w:t>
      </w:r>
      <w:r>
        <w:rPr>
          <w:rFonts w:ascii="Times New Roman" w:hAnsi="Times New Roman"/>
          <w:sz w:val="26"/>
          <w:szCs w:val="26"/>
          <w:lang w:val="lv-LV"/>
        </w:rPr>
        <w:t>s</w:t>
      </w:r>
      <w:r w:rsidRPr="00A100D4">
        <w:rPr>
          <w:rFonts w:ascii="Times New Roman" w:hAnsi="Times New Roman"/>
          <w:sz w:val="26"/>
          <w:szCs w:val="26"/>
          <w:lang w:val="lv-LV"/>
        </w:rPr>
        <w:t xml:space="preserve"> Nr. 517/2014</w:t>
      </w:r>
      <w:r>
        <w:rPr>
          <w:rFonts w:ascii="Times New Roman" w:hAnsi="Times New Roman"/>
          <w:sz w:val="26"/>
          <w:szCs w:val="26"/>
          <w:lang w:val="lv-LV"/>
        </w:rPr>
        <w:t xml:space="preserve"> 12. panta 1. punktā</w:t>
      </w:r>
      <w:r w:rsidRPr="005F02A8">
        <w:rPr>
          <w:rFonts w:ascii="Times New Roman" w:hAnsi="Times New Roman"/>
          <w:sz w:val="26"/>
          <w:szCs w:val="26"/>
          <w:lang w:val="lv-LV"/>
        </w:rPr>
        <w:t>.</w:t>
      </w:r>
      <w:r>
        <w:rPr>
          <w:rFonts w:ascii="Times New Roman" w:hAnsi="Times New Roman"/>
          <w:sz w:val="26"/>
          <w:szCs w:val="26"/>
          <w:lang w:val="lv-LV"/>
        </w:rPr>
        <w:t xml:space="preserve"> Turklāt abu iestāžu kompetenču sadalījums zināmā mērā nonāk arī pretrunā ar citos normatīvajos aktos noteikto PTAC kompetenci. Tā kā attiecībā uz atsevišķiem </w:t>
      </w:r>
      <w:r w:rsidRPr="00A100D4">
        <w:rPr>
          <w:rFonts w:ascii="Times New Roman" w:hAnsi="Times New Roman"/>
          <w:sz w:val="26"/>
          <w:szCs w:val="26"/>
          <w:lang w:val="lv-LV"/>
        </w:rPr>
        <w:t>regula</w:t>
      </w:r>
      <w:r>
        <w:rPr>
          <w:rFonts w:ascii="Times New Roman" w:hAnsi="Times New Roman"/>
          <w:sz w:val="26"/>
          <w:szCs w:val="26"/>
          <w:lang w:val="lv-LV"/>
        </w:rPr>
        <w:t>s</w:t>
      </w:r>
      <w:r w:rsidRPr="00A100D4">
        <w:rPr>
          <w:rFonts w:ascii="Times New Roman" w:hAnsi="Times New Roman"/>
          <w:sz w:val="26"/>
          <w:szCs w:val="26"/>
          <w:lang w:val="lv-LV"/>
        </w:rPr>
        <w:t xml:space="preserve"> Nr. 517/2014</w:t>
      </w:r>
      <w:r>
        <w:rPr>
          <w:rFonts w:ascii="Times New Roman" w:hAnsi="Times New Roman"/>
          <w:sz w:val="26"/>
          <w:szCs w:val="26"/>
          <w:lang w:val="lv-LV"/>
        </w:rPr>
        <w:t xml:space="preserve"> 12. panta 1. punkta apakšpunktiem abu iestāžu kompetence var būt dalīta, proti, PTAC – attiecībā uz iekārtu vai ražojumu, bet Veselības inspekcijai – attiecībā uz </w:t>
      </w:r>
      <w:r w:rsidRPr="009002FF">
        <w:rPr>
          <w:rFonts w:ascii="Times New Roman" w:hAnsi="Times New Roman"/>
          <w:sz w:val="26"/>
          <w:szCs w:val="26"/>
          <w:lang w:val="lv-LV"/>
        </w:rPr>
        <w:t>vielu, tad piedāvājam Projektā veikt šādus precizējumus:</w:t>
      </w:r>
    </w:p>
    <w:p w14:paraId="4E69FC7C" w14:textId="77777777" w:rsidR="00CD56A4" w:rsidRPr="009002FF" w:rsidRDefault="00C076AA" w:rsidP="00CD56A4">
      <w:pPr>
        <w:spacing w:after="120"/>
        <w:ind w:firstLine="709"/>
        <w:jc w:val="both"/>
        <w:rPr>
          <w:rFonts w:ascii="Times New Roman" w:hAnsi="Times New Roman"/>
          <w:sz w:val="26"/>
          <w:szCs w:val="26"/>
          <w:lang w:val="lv-LV"/>
        </w:rPr>
      </w:pPr>
      <w:r w:rsidRPr="009002FF">
        <w:rPr>
          <w:rFonts w:ascii="Times New Roman" w:hAnsi="Times New Roman"/>
          <w:sz w:val="26"/>
          <w:szCs w:val="26"/>
          <w:lang w:val="lv-LV"/>
        </w:rPr>
        <w:t>1) Projekta 6. punktā svītrot vārdus “regulas Nr. 517/2014 12. panta 1. punkta a), b), c), d), e) un i) apakšpunktos minētajiem”;</w:t>
      </w:r>
    </w:p>
    <w:p w14:paraId="5308114A" w14:textId="77777777" w:rsidR="00CD56A4" w:rsidRPr="009002FF" w:rsidRDefault="00C076AA" w:rsidP="00CD56A4">
      <w:pPr>
        <w:spacing w:after="120"/>
        <w:ind w:firstLine="709"/>
        <w:jc w:val="both"/>
        <w:rPr>
          <w:rFonts w:ascii="Times New Roman" w:hAnsi="Times New Roman"/>
          <w:sz w:val="26"/>
          <w:szCs w:val="26"/>
          <w:lang w:val="lv-LV"/>
        </w:rPr>
      </w:pPr>
      <w:r w:rsidRPr="009002FF">
        <w:rPr>
          <w:rFonts w:ascii="Times New Roman" w:hAnsi="Times New Roman"/>
          <w:sz w:val="26"/>
          <w:szCs w:val="26"/>
          <w:lang w:val="lv-LV"/>
        </w:rPr>
        <w:t>2) Projekta 7. punktā vārdus “regulas Nr. 517/2014 12. panta 1. punkta f), g) un h) apakšpunktiem” aizstāt ar vārdu “vielām”.</w:t>
      </w:r>
    </w:p>
    <w:p w14:paraId="778C2177" w14:textId="77777777" w:rsidR="00CD56A4" w:rsidRDefault="00C076AA" w:rsidP="00CD56A4">
      <w:pPr>
        <w:spacing w:after="120"/>
        <w:ind w:firstLine="709"/>
        <w:jc w:val="both"/>
        <w:rPr>
          <w:rFonts w:ascii="Times New Roman" w:hAnsi="Times New Roman"/>
          <w:iCs/>
          <w:sz w:val="26"/>
          <w:szCs w:val="26"/>
          <w:lang w:val="lv-LV"/>
        </w:rPr>
      </w:pPr>
      <w:r w:rsidRPr="009002FF">
        <w:rPr>
          <w:rFonts w:ascii="Times New Roman" w:hAnsi="Times New Roman"/>
          <w:sz w:val="26"/>
          <w:szCs w:val="26"/>
          <w:lang w:val="lv-LV"/>
        </w:rPr>
        <w:t>[2] Vēršam uzmanību uz neprecizitāti</w:t>
      </w:r>
      <w:r>
        <w:rPr>
          <w:rFonts w:ascii="Times New Roman" w:hAnsi="Times New Roman"/>
          <w:sz w:val="26"/>
          <w:szCs w:val="26"/>
          <w:lang w:val="lv-LV"/>
        </w:rPr>
        <w:t xml:space="preserve"> Projekta anotācijas I sadaļas 2. punkta </w:t>
      </w:r>
      <w:r>
        <w:rPr>
          <w:rFonts w:ascii="Times New Roman" w:hAnsi="Times New Roman"/>
          <w:sz w:val="26"/>
          <w:szCs w:val="26"/>
          <w:lang w:val="lv-LV"/>
        </w:rPr>
        <w:lastRenderedPageBreak/>
        <w:t>3. rindkopas 6. teikumā, kurā ietverts apgalvojums, ka “s</w:t>
      </w:r>
      <w:r w:rsidRPr="00AE748B">
        <w:rPr>
          <w:rFonts w:ascii="Times New Roman" w:hAnsi="Times New Roman"/>
          <w:iCs/>
          <w:sz w:val="26"/>
          <w:szCs w:val="26"/>
          <w:lang w:val="lv-LV"/>
        </w:rPr>
        <w:t>askaņā ar pašreiz spēkā esošajiem MK noteikumiem Nr. 563 PTAC veic tirgus uzraudzības iestādes funkcijas regulas Nr. 517/2014 tvērumā esošajām vielām,</w:t>
      </w:r>
      <w:r>
        <w:rPr>
          <w:rFonts w:ascii="Times New Roman" w:hAnsi="Times New Roman"/>
          <w:iCs/>
          <w:sz w:val="26"/>
          <w:szCs w:val="26"/>
          <w:lang w:val="lv-LV"/>
        </w:rPr>
        <w:t xml:space="preserve"> …”. Vēlamies norādīt, ka PTAC veic </w:t>
      </w:r>
      <w:r w:rsidRPr="00AE748B">
        <w:rPr>
          <w:rFonts w:ascii="Times New Roman" w:hAnsi="Times New Roman"/>
          <w:iCs/>
          <w:sz w:val="26"/>
          <w:szCs w:val="26"/>
          <w:lang w:val="lv-LV"/>
        </w:rPr>
        <w:t>tirgus uzraudzības iestādes funkcijas</w:t>
      </w:r>
      <w:r>
        <w:rPr>
          <w:rFonts w:ascii="Times New Roman" w:hAnsi="Times New Roman"/>
          <w:iCs/>
          <w:sz w:val="26"/>
          <w:szCs w:val="26"/>
          <w:lang w:val="lv-LV"/>
        </w:rPr>
        <w:t xml:space="preserve"> attiecībā uz iekārtām un ražojumiem, bet ne vielām. Lūdzam attiecīgi precizēt anotāciju.</w:t>
      </w:r>
    </w:p>
    <w:p w14:paraId="55ECCD69" w14:textId="77777777" w:rsidR="00CD56A4" w:rsidRDefault="00C076AA" w:rsidP="00CD56A4">
      <w:pPr>
        <w:spacing w:after="120"/>
        <w:ind w:firstLine="709"/>
        <w:jc w:val="both"/>
        <w:rPr>
          <w:rFonts w:ascii="Times New Roman" w:hAnsi="Times New Roman"/>
          <w:iCs/>
          <w:sz w:val="26"/>
          <w:szCs w:val="26"/>
          <w:lang w:val="lv-LV"/>
        </w:rPr>
      </w:pPr>
      <w:r>
        <w:rPr>
          <w:rFonts w:ascii="Times New Roman" w:hAnsi="Times New Roman"/>
          <w:iCs/>
          <w:sz w:val="26"/>
          <w:szCs w:val="26"/>
          <w:lang w:val="lv-LV"/>
        </w:rPr>
        <w:t>Sīkākai informācijai attiecībā uz iebildumu pamatojumu lūdzam skatīt turpmāk izklāstīto. Tā kā Projekta 7. punkts citastarp paredz Veselības inspekcijas kompetenci attiecībā uz r</w:t>
      </w:r>
      <w:r w:rsidRPr="00DF17FA">
        <w:rPr>
          <w:rFonts w:ascii="Times New Roman" w:hAnsi="Times New Roman"/>
          <w:iCs/>
          <w:sz w:val="26"/>
          <w:szCs w:val="26"/>
          <w:lang w:val="lv-LV"/>
        </w:rPr>
        <w:t xml:space="preserve">egulas </w:t>
      </w:r>
      <w:r>
        <w:rPr>
          <w:rFonts w:ascii="Times New Roman" w:hAnsi="Times New Roman"/>
          <w:iCs/>
          <w:sz w:val="26"/>
          <w:szCs w:val="26"/>
          <w:lang w:val="lv-LV"/>
        </w:rPr>
        <w:t>Nr. </w:t>
      </w:r>
      <w:r w:rsidRPr="00DF17FA">
        <w:rPr>
          <w:rFonts w:ascii="Times New Roman" w:hAnsi="Times New Roman"/>
          <w:iCs/>
          <w:sz w:val="26"/>
          <w:szCs w:val="26"/>
          <w:lang w:val="lv-LV"/>
        </w:rPr>
        <w:t>517/2014 12.</w:t>
      </w:r>
      <w:r>
        <w:rPr>
          <w:rFonts w:ascii="Times New Roman" w:hAnsi="Times New Roman"/>
          <w:iCs/>
          <w:sz w:val="26"/>
          <w:szCs w:val="26"/>
          <w:lang w:val="lv-LV"/>
        </w:rPr>
        <w:t> </w:t>
      </w:r>
      <w:r w:rsidRPr="00DF17FA">
        <w:rPr>
          <w:rFonts w:ascii="Times New Roman" w:hAnsi="Times New Roman"/>
          <w:iCs/>
          <w:sz w:val="26"/>
          <w:szCs w:val="26"/>
          <w:lang w:val="lv-LV"/>
        </w:rPr>
        <w:t>panta 1.</w:t>
      </w:r>
      <w:r>
        <w:rPr>
          <w:rFonts w:ascii="Times New Roman" w:hAnsi="Times New Roman"/>
          <w:iCs/>
          <w:sz w:val="26"/>
          <w:szCs w:val="26"/>
          <w:lang w:val="lv-LV"/>
        </w:rPr>
        <w:t> </w:t>
      </w:r>
      <w:r w:rsidRPr="00DF17FA">
        <w:rPr>
          <w:rFonts w:ascii="Times New Roman" w:hAnsi="Times New Roman"/>
          <w:iCs/>
          <w:sz w:val="26"/>
          <w:szCs w:val="26"/>
          <w:lang w:val="lv-LV"/>
        </w:rPr>
        <w:t>punkta f) un g) apakšpunkt</w:t>
      </w:r>
      <w:r>
        <w:rPr>
          <w:rFonts w:ascii="Times New Roman" w:hAnsi="Times New Roman"/>
          <w:iCs/>
          <w:sz w:val="26"/>
          <w:szCs w:val="26"/>
          <w:lang w:val="lv-LV"/>
        </w:rPr>
        <w:t xml:space="preserve">u (nekonkretizējot, vai attiecībā uz vielām, vai iekārtām), </w:t>
      </w:r>
      <w:r w:rsidRPr="00DF17FA">
        <w:rPr>
          <w:rFonts w:ascii="Times New Roman" w:hAnsi="Times New Roman"/>
          <w:iCs/>
          <w:sz w:val="26"/>
          <w:szCs w:val="26"/>
          <w:lang w:val="lv-LV"/>
        </w:rPr>
        <w:t>nav skaidrs, vai Veselības inspekcija kontrolēs tikai ķīmisko vielu marķējum</w:t>
      </w:r>
      <w:bookmarkStart w:id="0" w:name="_Hlk52346368"/>
      <w:bookmarkStart w:id="1" w:name="_Hlk52297702"/>
      <w:r w:rsidRPr="00DF17FA">
        <w:rPr>
          <w:rFonts w:ascii="Times New Roman" w:hAnsi="Times New Roman"/>
          <w:iCs/>
          <w:sz w:val="26"/>
          <w:szCs w:val="26"/>
          <w:lang w:val="lv-LV"/>
        </w:rPr>
        <w:t xml:space="preserve">u </w:t>
      </w:r>
      <w:bookmarkEnd w:id="0"/>
      <w:r>
        <w:rPr>
          <w:rFonts w:ascii="Times New Roman" w:hAnsi="Times New Roman"/>
          <w:iCs/>
          <w:sz w:val="26"/>
          <w:szCs w:val="26"/>
          <w:lang w:val="lv-LV"/>
        </w:rPr>
        <w:t xml:space="preserve">minētajos </w:t>
      </w:r>
      <w:r w:rsidRPr="00DF17FA">
        <w:rPr>
          <w:rFonts w:ascii="Times New Roman" w:hAnsi="Times New Roman"/>
          <w:iCs/>
          <w:sz w:val="26"/>
          <w:szCs w:val="26"/>
          <w:lang w:val="lv-LV"/>
        </w:rPr>
        <w:t>apakšpunkt</w:t>
      </w:r>
      <w:r>
        <w:rPr>
          <w:rFonts w:ascii="Times New Roman" w:hAnsi="Times New Roman"/>
          <w:iCs/>
          <w:sz w:val="26"/>
          <w:szCs w:val="26"/>
          <w:lang w:val="lv-LV"/>
        </w:rPr>
        <w:t>os</w:t>
      </w:r>
      <w:r w:rsidRPr="00DF17FA">
        <w:rPr>
          <w:rFonts w:ascii="Times New Roman" w:hAnsi="Times New Roman"/>
          <w:iCs/>
          <w:sz w:val="26"/>
          <w:szCs w:val="26"/>
          <w:lang w:val="lv-LV"/>
        </w:rPr>
        <w:t xml:space="preserve"> norādītajām iekārtām</w:t>
      </w:r>
      <w:bookmarkEnd w:id="1"/>
      <w:r>
        <w:rPr>
          <w:rFonts w:ascii="Times New Roman" w:hAnsi="Times New Roman"/>
          <w:iCs/>
          <w:sz w:val="26"/>
          <w:szCs w:val="26"/>
          <w:lang w:val="lv-LV"/>
        </w:rPr>
        <w:t xml:space="preserve"> (ņemot vērā anotācijā minēto, ka </w:t>
      </w:r>
      <w:r w:rsidRPr="00DF17FA">
        <w:rPr>
          <w:rFonts w:ascii="Times New Roman" w:hAnsi="Times New Roman"/>
          <w:iCs/>
          <w:sz w:val="26"/>
          <w:szCs w:val="26"/>
          <w:lang w:val="lv-LV"/>
        </w:rPr>
        <w:t xml:space="preserve">projekts piešķir Veselības inspekcijai pilnvaras kontrolēt </w:t>
      </w:r>
      <w:r w:rsidRPr="00DF17FA">
        <w:rPr>
          <w:rFonts w:ascii="Times New Roman" w:hAnsi="Times New Roman"/>
          <w:iCs/>
          <w:sz w:val="26"/>
          <w:szCs w:val="26"/>
          <w:u w:val="single"/>
          <w:lang w:val="lv-LV"/>
        </w:rPr>
        <w:t>ķīmisko vielu marķējumu</w:t>
      </w:r>
      <w:r>
        <w:rPr>
          <w:rFonts w:ascii="Times New Roman" w:hAnsi="Times New Roman"/>
          <w:iCs/>
          <w:sz w:val="26"/>
          <w:szCs w:val="26"/>
          <w:u w:val="single"/>
          <w:lang w:val="lv-LV"/>
        </w:rPr>
        <w:t>)</w:t>
      </w:r>
      <w:r w:rsidRPr="00DF17FA">
        <w:rPr>
          <w:rFonts w:ascii="Times New Roman" w:hAnsi="Times New Roman"/>
          <w:iCs/>
          <w:sz w:val="26"/>
          <w:szCs w:val="26"/>
          <w:lang w:val="lv-LV"/>
        </w:rPr>
        <w:t>, vai</w:t>
      </w:r>
      <w:r>
        <w:rPr>
          <w:rFonts w:ascii="Times New Roman" w:hAnsi="Times New Roman"/>
          <w:iCs/>
          <w:sz w:val="26"/>
          <w:szCs w:val="26"/>
          <w:lang w:val="lv-LV"/>
        </w:rPr>
        <w:t xml:space="preserve"> arī</w:t>
      </w:r>
      <w:r w:rsidRPr="00DF17FA">
        <w:rPr>
          <w:rFonts w:ascii="Times New Roman" w:hAnsi="Times New Roman"/>
          <w:iCs/>
          <w:sz w:val="26"/>
          <w:szCs w:val="26"/>
          <w:lang w:val="lv-LV"/>
        </w:rPr>
        <w:t xml:space="preserve"> tās kompetencē būs </w:t>
      </w:r>
      <w:r w:rsidRPr="00DF17FA">
        <w:rPr>
          <w:rFonts w:ascii="Times New Roman" w:hAnsi="Times New Roman"/>
          <w:iCs/>
          <w:sz w:val="26"/>
          <w:szCs w:val="26"/>
          <w:u w:val="single"/>
          <w:lang w:val="lv-LV"/>
        </w:rPr>
        <w:t>pilnā apmērā nodrošināt</w:t>
      </w:r>
      <w:r w:rsidRPr="00DF17FA">
        <w:rPr>
          <w:rFonts w:ascii="Times New Roman" w:hAnsi="Times New Roman"/>
          <w:iCs/>
          <w:sz w:val="26"/>
          <w:szCs w:val="26"/>
          <w:lang w:val="lv-LV"/>
        </w:rPr>
        <w:t xml:space="preserve"> </w:t>
      </w:r>
      <w:r>
        <w:rPr>
          <w:rFonts w:ascii="Times New Roman" w:hAnsi="Times New Roman"/>
          <w:iCs/>
          <w:sz w:val="26"/>
          <w:szCs w:val="26"/>
          <w:lang w:val="lv-LV"/>
        </w:rPr>
        <w:t>r</w:t>
      </w:r>
      <w:r w:rsidRPr="00DF17FA">
        <w:rPr>
          <w:rFonts w:ascii="Times New Roman" w:hAnsi="Times New Roman"/>
          <w:iCs/>
          <w:sz w:val="26"/>
          <w:szCs w:val="26"/>
          <w:lang w:val="lv-LV"/>
        </w:rPr>
        <w:t xml:space="preserve">egulā  </w:t>
      </w:r>
      <w:r>
        <w:rPr>
          <w:rFonts w:ascii="Times New Roman" w:hAnsi="Times New Roman"/>
          <w:iCs/>
          <w:sz w:val="26"/>
          <w:szCs w:val="26"/>
          <w:lang w:val="lv-LV"/>
        </w:rPr>
        <w:t>Nr. </w:t>
      </w:r>
      <w:r w:rsidRPr="00DF17FA">
        <w:rPr>
          <w:rFonts w:ascii="Times New Roman" w:hAnsi="Times New Roman"/>
          <w:iCs/>
          <w:sz w:val="26"/>
          <w:szCs w:val="26"/>
          <w:lang w:val="lv-LV"/>
        </w:rPr>
        <w:t>517/2014 noteikto</w:t>
      </w:r>
      <w:r w:rsidRPr="00DF17FA">
        <w:rPr>
          <w:rFonts w:ascii="Times New Roman" w:hAnsi="Times New Roman"/>
          <w:iCs/>
          <w:sz w:val="26"/>
          <w:szCs w:val="26"/>
          <w:u w:val="single"/>
          <w:lang w:val="lv-LV"/>
        </w:rPr>
        <w:t xml:space="preserve"> tirgus uzraudzības prasību izpildi attiecībā uz šīm iekārtām</w:t>
      </w:r>
      <w:r>
        <w:rPr>
          <w:rFonts w:ascii="Times New Roman" w:hAnsi="Times New Roman"/>
          <w:iCs/>
          <w:sz w:val="26"/>
          <w:szCs w:val="26"/>
          <w:lang w:val="lv-LV"/>
        </w:rPr>
        <w:t xml:space="preserve">. </w:t>
      </w:r>
    </w:p>
    <w:p w14:paraId="789126A8" w14:textId="77777777" w:rsidR="00CD56A4" w:rsidRDefault="00C076AA" w:rsidP="00CD56A4">
      <w:pPr>
        <w:spacing w:after="120"/>
        <w:ind w:firstLine="709"/>
        <w:jc w:val="both"/>
        <w:rPr>
          <w:rFonts w:ascii="Times New Roman" w:hAnsi="Times New Roman"/>
          <w:iCs/>
          <w:sz w:val="26"/>
          <w:szCs w:val="26"/>
          <w:lang w:val="lv-LV"/>
        </w:rPr>
      </w:pPr>
      <w:r>
        <w:rPr>
          <w:rFonts w:ascii="Times New Roman" w:hAnsi="Times New Roman"/>
          <w:iCs/>
          <w:sz w:val="26"/>
          <w:szCs w:val="26"/>
          <w:lang w:val="lv-LV"/>
        </w:rPr>
        <w:t>Vēlamies norādīt, ka r</w:t>
      </w:r>
      <w:r w:rsidRPr="00DF17FA">
        <w:rPr>
          <w:rFonts w:ascii="Times New Roman" w:hAnsi="Times New Roman"/>
          <w:iCs/>
          <w:sz w:val="26"/>
          <w:szCs w:val="26"/>
          <w:lang w:val="lv-LV"/>
        </w:rPr>
        <w:t xml:space="preserve">egulas </w:t>
      </w:r>
      <w:r>
        <w:rPr>
          <w:rFonts w:ascii="Times New Roman" w:hAnsi="Times New Roman"/>
          <w:iCs/>
          <w:sz w:val="26"/>
          <w:szCs w:val="26"/>
          <w:lang w:val="lv-LV"/>
        </w:rPr>
        <w:t>Nr. </w:t>
      </w:r>
      <w:r w:rsidRPr="00DF17FA">
        <w:rPr>
          <w:rFonts w:ascii="Times New Roman" w:hAnsi="Times New Roman"/>
          <w:iCs/>
          <w:sz w:val="26"/>
          <w:szCs w:val="26"/>
          <w:lang w:val="lv-LV"/>
        </w:rPr>
        <w:t>517/2014 12.</w:t>
      </w:r>
      <w:r>
        <w:rPr>
          <w:rFonts w:ascii="Times New Roman" w:hAnsi="Times New Roman"/>
          <w:iCs/>
          <w:sz w:val="26"/>
          <w:szCs w:val="26"/>
          <w:lang w:val="lv-LV"/>
        </w:rPr>
        <w:t> </w:t>
      </w:r>
      <w:r w:rsidRPr="00DF17FA">
        <w:rPr>
          <w:rFonts w:ascii="Times New Roman" w:hAnsi="Times New Roman"/>
          <w:iCs/>
          <w:sz w:val="26"/>
          <w:szCs w:val="26"/>
          <w:lang w:val="lv-LV"/>
        </w:rPr>
        <w:t>panta 1.</w:t>
      </w:r>
      <w:r>
        <w:rPr>
          <w:rFonts w:ascii="Times New Roman" w:hAnsi="Times New Roman"/>
          <w:iCs/>
          <w:sz w:val="26"/>
          <w:szCs w:val="26"/>
          <w:lang w:val="lv-LV"/>
        </w:rPr>
        <w:t> </w:t>
      </w:r>
      <w:r w:rsidRPr="009002FF">
        <w:rPr>
          <w:rFonts w:ascii="Times New Roman" w:hAnsi="Times New Roman"/>
          <w:iCs/>
          <w:sz w:val="26"/>
          <w:szCs w:val="26"/>
          <w:lang w:val="lv-LV"/>
        </w:rPr>
        <w:t xml:space="preserve">punkta f) apakšpunktā norādīto iekārtu </w:t>
      </w:r>
      <w:r>
        <w:rPr>
          <w:rFonts w:ascii="Times New Roman" w:hAnsi="Times New Roman"/>
          <w:iCs/>
          <w:sz w:val="26"/>
          <w:szCs w:val="26"/>
          <w:lang w:val="lv-LV"/>
        </w:rPr>
        <w:t>–</w:t>
      </w:r>
      <w:r w:rsidRPr="009002FF">
        <w:rPr>
          <w:rFonts w:ascii="Times New Roman" w:hAnsi="Times New Roman"/>
          <w:iCs/>
          <w:sz w:val="26"/>
          <w:szCs w:val="26"/>
          <w:lang w:val="lv-LV"/>
        </w:rPr>
        <w:t xml:space="preserve"> aerosola izsmidzinātāju jeb aerosola flakonu būtiskās prasības, to ievērošanas uzraudzības kārtību, kā arī aerosola flakonu marķēšanas un klasificēšanas kārtību nosaka Noteikumi Nr. 815</w:t>
      </w:r>
      <w:r>
        <w:rPr>
          <w:rFonts w:ascii="Times New Roman" w:hAnsi="Times New Roman"/>
          <w:iCs/>
          <w:sz w:val="26"/>
          <w:szCs w:val="26"/>
          <w:vertAlign w:val="superscript"/>
          <w:lang w:val="lv-LV"/>
        </w:rPr>
        <w:footnoteReference w:id="1"/>
      </w:r>
      <w:r w:rsidRPr="009002FF">
        <w:rPr>
          <w:rFonts w:ascii="Times New Roman" w:hAnsi="Times New Roman"/>
          <w:iCs/>
          <w:sz w:val="26"/>
          <w:szCs w:val="26"/>
          <w:lang w:val="lv-LV"/>
        </w:rPr>
        <w:t xml:space="preserve">. Saskaņā ar Noteikumu Nr. 815 26. punktu aerosola flakonu tirgus uzraudzības iestādes funkcijas veic PTAC. </w:t>
      </w:r>
    </w:p>
    <w:p w14:paraId="73850259" w14:textId="77777777" w:rsidR="00CD56A4" w:rsidRPr="009002FF" w:rsidRDefault="00C076AA" w:rsidP="00CD56A4">
      <w:pPr>
        <w:spacing w:after="120"/>
        <w:ind w:firstLine="709"/>
        <w:jc w:val="both"/>
        <w:rPr>
          <w:rFonts w:ascii="Times New Roman" w:hAnsi="Times New Roman"/>
          <w:iCs/>
          <w:sz w:val="26"/>
          <w:szCs w:val="26"/>
          <w:lang w:val="lv-LV"/>
        </w:rPr>
      </w:pPr>
      <w:r w:rsidRPr="009002FF">
        <w:rPr>
          <w:rFonts w:ascii="Times New Roman" w:hAnsi="Times New Roman"/>
          <w:iCs/>
          <w:sz w:val="26"/>
          <w:szCs w:val="26"/>
          <w:lang w:val="lv-LV"/>
        </w:rPr>
        <w:t>Savukārt regulas Nr. 517/2014 12. panta 1. punkta g) apakšpunktā norādītās iekārtas</w:t>
      </w:r>
      <w:r>
        <w:rPr>
          <w:rFonts w:ascii="Times New Roman" w:hAnsi="Times New Roman"/>
          <w:iCs/>
          <w:sz w:val="26"/>
          <w:szCs w:val="26"/>
          <w:lang w:val="lv-LV"/>
        </w:rPr>
        <w:t xml:space="preserve"> – </w:t>
      </w:r>
      <w:r w:rsidRPr="009002FF">
        <w:rPr>
          <w:rFonts w:ascii="Times New Roman" w:hAnsi="Times New Roman"/>
          <w:iCs/>
          <w:sz w:val="26"/>
          <w:szCs w:val="26"/>
          <w:lang w:val="lv-LV"/>
        </w:rPr>
        <w:t xml:space="preserve">fluorētu siltumnīcefekta gāzu tvertnes, </w:t>
      </w:r>
      <w:r>
        <w:rPr>
          <w:rFonts w:ascii="Times New Roman" w:hAnsi="Times New Roman"/>
          <w:iCs/>
          <w:sz w:val="26"/>
          <w:szCs w:val="26"/>
          <w:lang w:val="lv-LV"/>
        </w:rPr>
        <w:t xml:space="preserve">kā arī regulas </w:t>
      </w:r>
      <w:r w:rsidRPr="009002FF">
        <w:rPr>
          <w:rFonts w:ascii="Times New Roman" w:hAnsi="Times New Roman"/>
          <w:iCs/>
          <w:sz w:val="26"/>
          <w:szCs w:val="26"/>
          <w:lang w:val="lv-LV"/>
        </w:rPr>
        <w:t>III.</w:t>
      </w:r>
      <w:r>
        <w:rPr>
          <w:rFonts w:ascii="Times New Roman" w:hAnsi="Times New Roman"/>
          <w:iCs/>
          <w:sz w:val="26"/>
          <w:szCs w:val="26"/>
          <w:lang w:val="lv-LV"/>
        </w:rPr>
        <w:t> </w:t>
      </w:r>
      <w:r w:rsidRPr="009002FF">
        <w:rPr>
          <w:rFonts w:ascii="Times New Roman" w:hAnsi="Times New Roman"/>
          <w:iCs/>
          <w:sz w:val="26"/>
          <w:szCs w:val="26"/>
          <w:lang w:val="lv-LV"/>
        </w:rPr>
        <w:t>Pielikum</w:t>
      </w:r>
      <w:r>
        <w:rPr>
          <w:rFonts w:ascii="Times New Roman" w:hAnsi="Times New Roman"/>
          <w:iCs/>
          <w:sz w:val="26"/>
          <w:szCs w:val="26"/>
          <w:lang w:val="lv-LV"/>
        </w:rPr>
        <w:t xml:space="preserve">a </w:t>
      </w:r>
      <w:r w:rsidRPr="009002FF">
        <w:rPr>
          <w:rFonts w:ascii="Times New Roman" w:hAnsi="Times New Roman"/>
          <w:iCs/>
          <w:sz w:val="26"/>
          <w:szCs w:val="26"/>
          <w:lang w:val="lv-LV"/>
        </w:rPr>
        <w:t>1.</w:t>
      </w:r>
      <w:r>
        <w:rPr>
          <w:rFonts w:ascii="Times New Roman" w:hAnsi="Times New Roman"/>
          <w:iCs/>
          <w:sz w:val="26"/>
          <w:szCs w:val="26"/>
          <w:lang w:val="lv-LV"/>
        </w:rPr>
        <w:t> </w:t>
      </w:r>
      <w:r w:rsidRPr="009002FF">
        <w:rPr>
          <w:rFonts w:ascii="Times New Roman" w:hAnsi="Times New Roman"/>
          <w:iCs/>
          <w:sz w:val="26"/>
          <w:szCs w:val="26"/>
          <w:lang w:val="lv-LV"/>
        </w:rPr>
        <w:t xml:space="preserve">punktā norādītās iekārtas </w:t>
      </w:r>
      <w:r>
        <w:rPr>
          <w:rFonts w:ascii="Times New Roman" w:hAnsi="Times New Roman"/>
          <w:iCs/>
          <w:sz w:val="26"/>
          <w:szCs w:val="26"/>
          <w:lang w:val="lv-LV"/>
        </w:rPr>
        <w:t>–</w:t>
      </w:r>
      <w:r w:rsidRPr="009002FF">
        <w:rPr>
          <w:rFonts w:ascii="Times New Roman" w:hAnsi="Times New Roman"/>
          <w:iCs/>
          <w:sz w:val="26"/>
          <w:szCs w:val="26"/>
          <w:lang w:val="lv-LV"/>
        </w:rPr>
        <w:t xml:space="preserve"> atkārtoti neuzpildāmas tvertnes</w:t>
      </w:r>
      <w:r>
        <w:rPr>
          <w:rFonts w:ascii="Times New Roman" w:hAnsi="Times New Roman"/>
          <w:iCs/>
          <w:sz w:val="26"/>
          <w:szCs w:val="26"/>
          <w:lang w:val="lv-LV"/>
        </w:rPr>
        <w:t xml:space="preserve">, </w:t>
      </w:r>
      <w:r w:rsidRPr="009002FF">
        <w:rPr>
          <w:rFonts w:ascii="Times New Roman" w:hAnsi="Times New Roman"/>
          <w:iCs/>
          <w:sz w:val="26"/>
          <w:szCs w:val="26"/>
          <w:lang w:val="lv-LV"/>
        </w:rPr>
        <w:t>kā arī Īstenošanas Regul</w:t>
      </w:r>
      <w:r>
        <w:rPr>
          <w:rFonts w:ascii="Times New Roman" w:hAnsi="Times New Roman"/>
          <w:iCs/>
          <w:sz w:val="26"/>
          <w:szCs w:val="26"/>
          <w:lang w:val="lv-LV"/>
        </w:rPr>
        <w:t>as</w:t>
      </w:r>
      <w:r w:rsidRPr="009002FF">
        <w:rPr>
          <w:rFonts w:ascii="Times New Roman" w:hAnsi="Times New Roman"/>
          <w:iCs/>
          <w:sz w:val="26"/>
          <w:szCs w:val="26"/>
          <w:lang w:val="lv-LV"/>
        </w:rPr>
        <w:t xml:space="preserve"> 2015/2068</w:t>
      </w:r>
      <w:r>
        <w:rPr>
          <w:rFonts w:ascii="Times New Roman" w:hAnsi="Times New Roman"/>
          <w:iCs/>
          <w:sz w:val="26"/>
          <w:szCs w:val="26"/>
          <w:vertAlign w:val="superscript"/>
          <w:lang w:val="lv-LV"/>
        </w:rPr>
        <w:footnoteReference w:id="2"/>
      </w:r>
      <w:r w:rsidRPr="009002FF">
        <w:rPr>
          <w:rFonts w:ascii="Times New Roman" w:hAnsi="Times New Roman"/>
          <w:iCs/>
          <w:sz w:val="26"/>
          <w:szCs w:val="26"/>
          <w:lang w:val="lv-LV"/>
        </w:rPr>
        <w:t xml:space="preserve"> preambul</w:t>
      </w:r>
      <w:r>
        <w:rPr>
          <w:rFonts w:ascii="Times New Roman" w:hAnsi="Times New Roman"/>
          <w:iCs/>
          <w:sz w:val="26"/>
          <w:szCs w:val="26"/>
          <w:lang w:val="lv-LV"/>
        </w:rPr>
        <w:t>as trešajā ievilkum</w:t>
      </w:r>
      <w:r w:rsidRPr="009002FF">
        <w:rPr>
          <w:rFonts w:ascii="Times New Roman" w:hAnsi="Times New Roman"/>
          <w:iCs/>
          <w:sz w:val="26"/>
          <w:szCs w:val="26"/>
          <w:lang w:val="lv-LV"/>
        </w:rPr>
        <w:t>ā norādītas iekārtas - tvertnes, tostarp cilindri, mucas, autocisternas un vagoncisternas, ir  klasificējamas kā transportējamās spiedieniekārtas Noteikumu Nr.</w:t>
      </w:r>
      <w:r>
        <w:rPr>
          <w:rFonts w:ascii="Times New Roman" w:hAnsi="Times New Roman"/>
          <w:iCs/>
          <w:sz w:val="26"/>
          <w:szCs w:val="26"/>
          <w:lang w:val="lv-LV"/>
        </w:rPr>
        <w:t> </w:t>
      </w:r>
      <w:r w:rsidRPr="009002FF">
        <w:rPr>
          <w:rFonts w:ascii="Times New Roman" w:hAnsi="Times New Roman"/>
          <w:iCs/>
          <w:sz w:val="26"/>
          <w:szCs w:val="26"/>
          <w:lang w:val="lv-LV"/>
        </w:rPr>
        <w:t>500</w:t>
      </w:r>
      <w:r>
        <w:rPr>
          <w:rFonts w:ascii="Times New Roman" w:hAnsi="Times New Roman"/>
          <w:iCs/>
          <w:sz w:val="26"/>
          <w:szCs w:val="26"/>
          <w:vertAlign w:val="superscript"/>
          <w:lang w:val="lv-LV"/>
        </w:rPr>
        <w:footnoteReference w:id="3"/>
      </w:r>
      <w:r w:rsidRPr="009002FF">
        <w:rPr>
          <w:rFonts w:ascii="Times New Roman" w:hAnsi="Times New Roman"/>
          <w:iCs/>
          <w:sz w:val="26"/>
          <w:szCs w:val="26"/>
          <w:lang w:val="lv-LV"/>
        </w:rPr>
        <w:t xml:space="preserve"> izpratnē. Noteikumi Nr.</w:t>
      </w:r>
      <w:r>
        <w:rPr>
          <w:rFonts w:ascii="Times New Roman" w:hAnsi="Times New Roman"/>
          <w:iCs/>
          <w:sz w:val="26"/>
          <w:szCs w:val="26"/>
          <w:lang w:val="lv-LV"/>
        </w:rPr>
        <w:t> </w:t>
      </w:r>
      <w:r w:rsidRPr="009002FF">
        <w:rPr>
          <w:rFonts w:ascii="Times New Roman" w:hAnsi="Times New Roman"/>
          <w:iCs/>
          <w:sz w:val="26"/>
          <w:szCs w:val="26"/>
          <w:lang w:val="lv-LV"/>
        </w:rPr>
        <w:t>500 nosaka transportējamo spiedieniekārtu atbilstības novērtēšanas, atkārtotas atbilstības novērtēšanas, tirgus uzraudzības un tehniskās uzraudzības kārtību, lai apritē esošās transportējamās spiedieniekārtas neradītu draudus cilvēku dzīvībai, veselībai, īpašumam un videi, kā arī prasības, kas jāievēro, organizējot un veicot darbus ar attiecīgajām transportējamām spiedieniekārtām. Saskaņā ar Noteikumu Nr.</w:t>
      </w:r>
      <w:r>
        <w:rPr>
          <w:rFonts w:ascii="Times New Roman" w:hAnsi="Times New Roman"/>
          <w:iCs/>
          <w:sz w:val="26"/>
          <w:szCs w:val="26"/>
          <w:lang w:val="lv-LV"/>
        </w:rPr>
        <w:t> </w:t>
      </w:r>
      <w:r w:rsidRPr="009002FF">
        <w:rPr>
          <w:rFonts w:ascii="Times New Roman" w:hAnsi="Times New Roman"/>
          <w:iCs/>
          <w:sz w:val="26"/>
          <w:szCs w:val="26"/>
          <w:lang w:val="lv-LV"/>
        </w:rPr>
        <w:t>500 10.</w:t>
      </w:r>
      <w:r>
        <w:rPr>
          <w:rFonts w:ascii="Times New Roman" w:hAnsi="Times New Roman"/>
          <w:iCs/>
          <w:sz w:val="26"/>
          <w:szCs w:val="26"/>
          <w:lang w:val="lv-LV"/>
        </w:rPr>
        <w:t> </w:t>
      </w:r>
      <w:r w:rsidRPr="009002FF">
        <w:rPr>
          <w:rFonts w:ascii="Times New Roman" w:hAnsi="Times New Roman"/>
          <w:iCs/>
          <w:sz w:val="26"/>
          <w:szCs w:val="26"/>
          <w:lang w:val="lv-LV"/>
        </w:rPr>
        <w:t xml:space="preserve">punktu transportējamo spiedieniekārtu tirgus uzraudzība ir PTAC kompetencē. </w:t>
      </w:r>
    </w:p>
    <w:p w14:paraId="50B81255" w14:textId="77777777" w:rsidR="00CD56A4" w:rsidRPr="009002FF" w:rsidRDefault="00C076AA" w:rsidP="00CD56A4">
      <w:pPr>
        <w:spacing w:after="120"/>
        <w:ind w:firstLine="709"/>
        <w:jc w:val="both"/>
        <w:rPr>
          <w:rFonts w:ascii="Times New Roman" w:hAnsi="Times New Roman"/>
          <w:iCs/>
          <w:sz w:val="26"/>
          <w:szCs w:val="26"/>
          <w:lang w:val="lv-LV"/>
        </w:rPr>
      </w:pPr>
      <w:r w:rsidRPr="009002FF">
        <w:rPr>
          <w:rFonts w:ascii="Times New Roman" w:hAnsi="Times New Roman"/>
          <w:iCs/>
          <w:sz w:val="26"/>
          <w:szCs w:val="26"/>
          <w:lang w:val="lv-LV"/>
        </w:rPr>
        <w:t xml:space="preserve">Informējam, ka laist un piedāvāt tirgū drīkst </w:t>
      </w:r>
      <w:r w:rsidRPr="009002FF">
        <w:rPr>
          <w:rFonts w:ascii="Times New Roman" w:hAnsi="Times New Roman"/>
          <w:iCs/>
          <w:sz w:val="26"/>
          <w:szCs w:val="26"/>
          <w:u w:val="single"/>
          <w:lang w:val="lv-LV"/>
        </w:rPr>
        <w:t>tikai</w:t>
      </w:r>
      <w:r w:rsidRPr="009002FF">
        <w:rPr>
          <w:rFonts w:ascii="Times New Roman" w:hAnsi="Times New Roman"/>
          <w:iCs/>
          <w:sz w:val="26"/>
          <w:szCs w:val="26"/>
          <w:lang w:val="lv-LV"/>
        </w:rPr>
        <w:t xml:space="preserve"> tādas transportējamās spiedieniekārtas, kas ir projektētas, ražotas, nodrošinātas ar tehnisko dokumentāciju, </w:t>
      </w:r>
      <w:r w:rsidRPr="009002FF">
        <w:rPr>
          <w:rFonts w:ascii="Times New Roman" w:hAnsi="Times New Roman"/>
          <w:iCs/>
          <w:sz w:val="26"/>
          <w:szCs w:val="26"/>
          <w:lang w:val="lv-LV"/>
        </w:rPr>
        <w:lastRenderedPageBreak/>
        <w:t xml:space="preserve">novērtētas un marķētas atbilstoši </w:t>
      </w:r>
      <w:bookmarkStart w:id="4" w:name="_Hlk52285017"/>
      <w:r w:rsidRPr="009002FF">
        <w:rPr>
          <w:rFonts w:ascii="Times New Roman" w:hAnsi="Times New Roman"/>
          <w:iCs/>
          <w:sz w:val="26"/>
          <w:szCs w:val="26"/>
          <w:lang w:val="lv-LV"/>
        </w:rPr>
        <w:t>ADR nolīgumā</w:t>
      </w:r>
      <w:r>
        <w:rPr>
          <w:rFonts w:ascii="Times New Roman" w:hAnsi="Times New Roman"/>
          <w:iCs/>
          <w:sz w:val="26"/>
          <w:szCs w:val="26"/>
          <w:vertAlign w:val="superscript"/>
          <w:lang w:val="lv-LV"/>
        </w:rPr>
        <w:footnoteReference w:id="4"/>
      </w:r>
      <w:r w:rsidRPr="009002FF">
        <w:rPr>
          <w:rFonts w:ascii="Times New Roman" w:hAnsi="Times New Roman"/>
          <w:iCs/>
          <w:sz w:val="26"/>
          <w:szCs w:val="26"/>
          <w:lang w:val="lv-LV"/>
        </w:rPr>
        <w:t>, RID noteikumos</w:t>
      </w:r>
      <w:r>
        <w:rPr>
          <w:rFonts w:ascii="Times New Roman" w:hAnsi="Times New Roman"/>
          <w:iCs/>
          <w:sz w:val="26"/>
          <w:szCs w:val="26"/>
          <w:vertAlign w:val="superscript"/>
          <w:lang w:val="lv-LV"/>
        </w:rPr>
        <w:footnoteReference w:id="5"/>
      </w:r>
      <w:r w:rsidRPr="009002FF">
        <w:rPr>
          <w:rFonts w:ascii="Times New Roman" w:hAnsi="Times New Roman"/>
          <w:iCs/>
          <w:sz w:val="26"/>
          <w:szCs w:val="26"/>
          <w:lang w:val="lv-LV"/>
        </w:rPr>
        <w:t xml:space="preserve"> un Noteikumos Nr.</w:t>
      </w:r>
      <w:r>
        <w:rPr>
          <w:rFonts w:ascii="Times New Roman" w:hAnsi="Times New Roman"/>
          <w:iCs/>
          <w:sz w:val="26"/>
          <w:szCs w:val="26"/>
          <w:lang w:val="lv-LV"/>
        </w:rPr>
        <w:t> </w:t>
      </w:r>
      <w:r w:rsidRPr="009002FF">
        <w:rPr>
          <w:rFonts w:ascii="Times New Roman" w:hAnsi="Times New Roman"/>
          <w:iCs/>
          <w:sz w:val="26"/>
          <w:szCs w:val="26"/>
          <w:lang w:val="lv-LV"/>
        </w:rPr>
        <w:t>500</w:t>
      </w:r>
      <w:r>
        <w:rPr>
          <w:rFonts w:ascii="Times New Roman" w:hAnsi="Times New Roman"/>
          <w:iCs/>
          <w:sz w:val="26"/>
          <w:szCs w:val="26"/>
          <w:vertAlign w:val="superscript"/>
          <w:lang w:val="lv-LV"/>
        </w:rPr>
        <w:footnoteReference w:id="6"/>
      </w:r>
      <w:r w:rsidRPr="009002FF">
        <w:rPr>
          <w:rFonts w:ascii="Times New Roman" w:hAnsi="Times New Roman"/>
          <w:iCs/>
          <w:sz w:val="26"/>
          <w:szCs w:val="26"/>
          <w:lang w:val="lv-LV"/>
        </w:rPr>
        <w:t xml:space="preserve"> noteiktajām prasībām</w:t>
      </w:r>
      <w:bookmarkEnd w:id="4"/>
      <w:r w:rsidRPr="009002FF">
        <w:rPr>
          <w:rFonts w:ascii="Times New Roman" w:hAnsi="Times New Roman"/>
          <w:iCs/>
          <w:sz w:val="26"/>
          <w:szCs w:val="26"/>
          <w:lang w:val="lv-LV"/>
        </w:rPr>
        <w:t>. Tas nozīmē, ka pat</w:t>
      </w:r>
      <w:r>
        <w:rPr>
          <w:rFonts w:ascii="Times New Roman" w:hAnsi="Times New Roman"/>
          <w:iCs/>
          <w:sz w:val="26"/>
          <w:szCs w:val="26"/>
          <w:lang w:val="lv-LV"/>
        </w:rPr>
        <w:t xml:space="preserve"> tad</w:t>
      </w:r>
      <w:r w:rsidRPr="009002FF">
        <w:rPr>
          <w:rFonts w:ascii="Times New Roman" w:hAnsi="Times New Roman"/>
          <w:iCs/>
          <w:sz w:val="26"/>
          <w:szCs w:val="26"/>
          <w:lang w:val="lv-LV"/>
        </w:rPr>
        <w:t xml:space="preserve">, ja iekārtas būs nodrošinātas ar tajās uzpildītās ķīmiskās vielas marķējumu atbilstoši </w:t>
      </w:r>
      <w:r>
        <w:rPr>
          <w:rFonts w:ascii="Times New Roman" w:hAnsi="Times New Roman"/>
          <w:iCs/>
          <w:sz w:val="26"/>
          <w:szCs w:val="26"/>
          <w:lang w:val="lv-LV"/>
        </w:rPr>
        <w:t>r</w:t>
      </w:r>
      <w:r w:rsidRPr="009002FF">
        <w:rPr>
          <w:rFonts w:ascii="Times New Roman" w:hAnsi="Times New Roman"/>
          <w:iCs/>
          <w:sz w:val="26"/>
          <w:szCs w:val="26"/>
          <w:lang w:val="lv-LV"/>
        </w:rPr>
        <w:t xml:space="preserve">egulas </w:t>
      </w:r>
      <w:r>
        <w:rPr>
          <w:rFonts w:ascii="Times New Roman" w:hAnsi="Times New Roman"/>
          <w:iCs/>
          <w:sz w:val="26"/>
          <w:szCs w:val="26"/>
          <w:lang w:val="lv-LV"/>
        </w:rPr>
        <w:t>Nr. </w:t>
      </w:r>
      <w:r w:rsidRPr="009002FF">
        <w:rPr>
          <w:rFonts w:ascii="Times New Roman" w:hAnsi="Times New Roman"/>
          <w:iCs/>
          <w:sz w:val="26"/>
          <w:szCs w:val="26"/>
          <w:lang w:val="lv-LV"/>
        </w:rPr>
        <w:t>517/2014 prasībām, bet pašas iekārtas neizpildīs Noteikumos Nr.</w:t>
      </w:r>
      <w:r>
        <w:rPr>
          <w:rFonts w:ascii="Times New Roman" w:hAnsi="Times New Roman"/>
          <w:iCs/>
          <w:sz w:val="26"/>
          <w:szCs w:val="26"/>
          <w:lang w:val="lv-LV"/>
        </w:rPr>
        <w:t> </w:t>
      </w:r>
      <w:r w:rsidRPr="009002FF">
        <w:rPr>
          <w:rFonts w:ascii="Times New Roman" w:hAnsi="Times New Roman"/>
          <w:iCs/>
          <w:sz w:val="26"/>
          <w:szCs w:val="26"/>
          <w:lang w:val="lv-LV"/>
        </w:rPr>
        <w:t xml:space="preserve">500, kā arī ADR nolīgumā un RID noteikumos noteiktās prasības, šādu iekārtu laišana un piedāvāšana tirgū nav pieļaujama. </w:t>
      </w:r>
    </w:p>
    <w:p w14:paraId="40A4266A" w14:textId="77777777" w:rsidR="00CD56A4" w:rsidRPr="009002FF" w:rsidRDefault="00C076AA" w:rsidP="00CD56A4">
      <w:pPr>
        <w:spacing w:after="120"/>
        <w:ind w:firstLine="709"/>
        <w:jc w:val="both"/>
        <w:rPr>
          <w:rFonts w:ascii="Times New Roman" w:hAnsi="Times New Roman"/>
          <w:iCs/>
          <w:sz w:val="26"/>
          <w:szCs w:val="26"/>
          <w:lang w:val="lv-LV"/>
        </w:rPr>
      </w:pPr>
      <w:r w:rsidRPr="009002FF">
        <w:rPr>
          <w:rFonts w:ascii="Times New Roman" w:hAnsi="Times New Roman"/>
          <w:iCs/>
          <w:sz w:val="26"/>
          <w:szCs w:val="26"/>
          <w:lang w:val="lv-LV"/>
        </w:rPr>
        <w:t>Papildus vēršam uzmanību, ka Noteikumos Nr.</w:t>
      </w:r>
      <w:r>
        <w:rPr>
          <w:rFonts w:ascii="Times New Roman" w:hAnsi="Times New Roman"/>
          <w:iCs/>
          <w:sz w:val="26"/>
          <w:szCs w:val="26"/>
          <w:lang w:val="lv-LV"/>
        </w:rPr>
        <w:t> </w:t>
      </w:r>
      <w:r w:rsidRPr="009002FF">
        <w:rPr>
          <w:rFonts w:ascii="Times New Roman" w:hAnsi="Times New Roman"/>
          <w:iCs/>
          <w:sz w:val="26"/>
          <w:szCs w:val="26"/>
          <w:lang w:val="lv-LV"/>
        </w:rPr>
        <w:t>755</w:t>
      </w:r>
      <w:r>
        <w:rPr>
          <w:rFonts w:ascii="Times New Roman" w:hAnsi="Times New Roman"/>
          <w:iCs/>
          <w:sz w:val="26"/>
          <w:szCs w:val="26"/>
          <w:vertAlign w:val="superscript"/>
          <w:lang w:val="lv-LV"/>
        </w:rPr>
        <w:footnoteReference w:id="7"/>
      </w:r>
      <w:r w:rsidRPr="009002FF">
        <w:rPr>
          <w:rFonts w:ascii="Times New Roman" w:hAnsi="Times New Roman"/>
          <w:iCs/>
          <w:sz w:val="26"/>
          <w:szCs w:val="26"/>
          <w:lang w:val="lv-LV"/>
        </w:rPr>
        <w:t xml:space="preserve"> ir noteiktas prasības </w:t>
      </w:r>
      <w:bookmarkStart w:id="5" w:name="_Hlk47513371"/>
      <w:r w:rsidRPr="009002FF">
        <w:rPr>
          <w:rFonts w:ascii="Times New Roman" w:hAnsi="Times New Roman"/>
          <w:iCs/>
          <w:sz w:val="26"/>
          <w:szCs w:val="26"/>
          <w:lang w:val="lv-LV"/>
        </w:rPr>
        <w:t xml:space="preserve">atkārtoti uzpildāmu </w:t>
      </w:r>
      <w:bookmarkEnd w:id="5"/>
      <w:r w:rsidRPr="009002FF">
        <w:rPr>
          <w:rFonts w:ascii="Times New Roman" w:hAnsi="Times New Roman"/>
          <w:iCs/>
          <w:sz w:val="26"/>
          <w:szCs w:val="26"/>
          <w:lang w:val="lv-LV"/>
        </w:rPr>
        <w:t>gāzes balonu</w:t>
      </w:r>
      <w:r>
        <w:rPr>
          <w:rFonts w:ascii="Times New Roman" w:hAnsi="Times New Roman"/>
          <w:iCs/>
          <w:sz w:val="26"/>
          <w:szCs w:val="26"/>
          <w:vertAlign w:val="superscript"/>
          <w:lang w:val="lv-LV"/>
        </w:rPr>
        <w:footnoteReference w:id="8"/>
      </w:r>
      <w:r w:rsidRPr="009002FF">
        <w:rPr>
          <w:rFonts w:ascii="Times New Roman" w:hAnsi="Times New Roman"/>
          <w:iCs/>
          <w:sz w:val="26"/>
          <w:szCs w:val="26"/>
          <w:lang w:val="lv-LV"/>
        </w:rPr>
        <w:t xml:space="preserve"> apritei</w:t>
      </w:r>
      <w:r>
        <w:rPr>
          <w:rFonts w:ascii="Times New Roman" w:hAnsi="Times New Roman"/>
          <w:iCs/>
          <w:sz w:val="26"/>
          <w:szCs w:val="26"/>
          <w:vertAlign w:val="superscript"/>
          <w:lang w:val="lv-LV"/>
        </w:rPr>
        <w:footnoteReference w:id="9"/>
      </w:r>
      <w:r w:rsidRPr="009002FF">
        <w:rPr>
          <w:rFonts w:ascii="Times New Roman" w:hAnsi="Times New Roman"/>
          <w:iCs/>
          <w:sz w:val="26"/>
          <w:szCs w:val="26"/>
          <w:lang w:val="lv-LV"/>
        </w:rPr>
        <w:t xml:space="preserve"> Latvijas Republikas teritorijā, ieskaitot pienākumu gāzes balonu tirgotājam pirms gāzes balonu tirdzniecības uzsākšanas reģistrēt tirdzniecības vietu PTAC uzturētajā gāzes balonu tirdzniecības vietu reģistrā, kā arī pienākumus atbildīgajai personai</w:t>
      </w:r>
      <w:r>
        <w:rPr>
          <w:rFonts w:ascii="Times New Roman" w:hAnsi="Times New Roman"/>
          <w:iCs/>
          <w:sz w:val="26"/>
          <w:szCs w:val="26"/>
          <w:vertAlign w:val="superscript"/>
          <w:lang w:val="lv-LV"/>
        </w:rPr>
        <w:footnoteReference w:id="10"/>
      </w:r>
      <w:r w:rsidRPr="009002FF">
        <w:rPr>
          <w:rFonts w:ascii="Times New Roman" w:hAnsi="Times New Roman"/>
          <w:iCs/>
          <w:sz w:val="26"/>
          <w:szCs w:val="26"/>
          <w:lang w:val="lv-LV"/>
        </w:rPr>
        <w:t>. Noteikumu Nr.</w:t>
      </w:r>
      <w:r>
        <w:rPr>
          <w:rFonts w:ascii="Times New Roman" w:hAnsi="Times New Roman"/>
          <w:iCs/>
          <w:sz w:val="26"/>
          <w:szCs w:val="26"/>
          <w:lang w:val="lv-LV"/>
        </w:rPr>
        <w:t> </w:t>
      </w:r>
      <w:r w:rsidRPr="009002FF">
        <w:rPr>
          <w:rFonts w:ascii="Times New Roman" w:hAnsi="Times New Roman"/>
          <w:iCs/>
          <w:sz w:val="26"/>
          <w:szCs w:val="26"/>
          <w:lang w:val="lv-LV"/>
        </w:rPr>
        <w:t>755 4.</w:t>
      </w:r>
      <w:r>
        <w:rPr>
          <w:rFonts w:ascii="Times New Roman" w:hAnsi="Times New Roman"/>
          <w:iCs/>
          <w:sz w:val="26"/>
          <w:szCs w:val="26"/>
          <w:lang w:val="lv-LV"/>
        </w:rPr>
        <w:t> </w:t>
      </w:r>
      <w:r w:rsidRPr="009002FF">
        <w:rPr>
          <w:rFonts w:ascii="Times New Roman" w:hAnsi="Times New Roman"/>
          <w:iCs/>
          <w:sz w:val="26"/>
          <w:szCs w:val="26"/>
          <w:lang w:val="lv-LV"/>
        </w:rPr>
        <w:t xml:space="preserve">punkts nosaka, ka Noteikumu </w:t>
      </w:r>
      <w:r>
        <w:rPr>
          <w:rFonts w:ascii="Times New Roman" w:hAnsi="Times New Roman"/>
          <w:iCs/>
          <w:sz w:val="26"/>
          <w:szCs w:val="26"/>
          <w:lang w:val="lv-LV"/>
        </w:rPr>
        <w:t>N</w:t>
      </w:r>
      <w:r w:rsidRPr="009002FF">
        <w:rPr>
          <w:rFonts w:ascii="Times New Roman" w:hAnsi="Times New Roman"/>
          <w:iCs/>
          <w:sz w:val="26"/>
          <w:szCs w:val="26"/>
          <w:lang w:val="lv-LV"/>
        </w:rPr>
        <w:t>r.</w:t>
      </w:r>
      <w:r>
        <w:rPr>
          <w:rFonts w:ascii="Times New Roman" w:hAnsi="Times New Roman"/>
          <w:iCs/>
          <w:sz w:val="26"/>
          <w:szCs w:val="26"/>
          <w:lang w:val="lv-LV"/>
        </w:rPr>
        <w:t> </w:t>
      </w:r>
      <w:r w:rsidRPr="009002FF">
        <w:rPr>
          <w:rFonts w:ascii="Times New Roman" w:hAnsi="Times New Roman"/>
          <w:iCs/>
          <w:sz w:val="26"/>
          <w:szCs w:val="26"/>
          <w:lang w:val="lv-LV"/>
        </w:rPr>
        <w:t>755 prasības nav piemērojamas tikai attiecībā uz medicīnā un zinātniskajā pētniecībā izmantojamo gāzes balonu apriti, līdz ar to secināms, ka Noteikumu Nr.</w:t>
      </w:r>
      <w:r>
        <w:rPr>
          <w:rFonts w:ascii="Times New Roman" w:hAnsi="Times New Roman"/>
          <w:iCs/>
          <w:sz w:val="26"/>
          <w:szCs w:val="26"/>
          <w:lang w:val="lv-LV"/>
        </w:rPr>
        <w:t> </w:t>
      </w:r>
      <w:r w:rsidRPr="009002FF">
        <w:rPr>
          <w:rFonts w:ascii="Times New Roman" w:hAnsi="Times New Roman"/>
          <w:iCs/>
          <w:sz w:val="26"/>
          <w:szCs w:val="26"/>
          <w:lang w:val="lv-LV"/>
        </w:rPr>
        <w:t>755 prasības būtu piemērojamas arī tiem atkārtoti uzpildāmiem gāzes baloniem, kuros tiek uzpildītas fluorētās siltumnīcefekta gāzes.</w:t>
      </w:r>
    </w:p>
    <w:p w14:paraId="74627AAF" w14:textId="77777777" w:rsidR="00CD56A4" w:rsidRPr="00E06505" w:rsidRDefault="00CD56A4" w:rsidP="00CD56A4">
      <w:pPr>
        <w:spacing w:after="120"/>
        <w:ind w:firstLine="709"/>
        <w:jc w:val="both"/>
        <w:rPr>
          <w:rFonts w:ascii="Times New Roman" w:hAnsi="Times New Roman"/>
          <w:sz w:val="26"/>
          <w:szCs w:val="26"/>
          <w:lang w:val="lv-LV"/>
        </w:rPr>
      </w:pPr>
    </w:p>
    <w:p w14:paraId="0109850A" w14:textId="77777777" w:rsidR="00CD56A4" w:rsidRPr="00A25499" w:rsidRDefault="00CD56A4" w:rsidP="00CD56A4">
      <w:pPr>
        <w:spacing w:after="0" w:line="240" w:lineRule="auto"/>
        <w:ind w:firstLine="851"/>
        <w:rPr>
          <w:rFonts w:ascii="Times New Roman" w:hAnsi="Times New Roman"/>
          <w:sz w:val="26"/>
          <w:szCs w:val="26"/>
          <w:lang w:val="lv-LV"/>
        </w:rPr>
      </w:pPr>
    </w:p>
    <w:p w14:paraId="65416EAD" w14:textId="77777777" w:rsidR="00CD56A4" w:rsidRPr="00A25499" w:rsidRDefault="00C076AA" w:rsidP="00CD56A4">
      <w:pPr>
        <w:spacing w:after="0" w:line="240" w:lineRule="auto"/>
        <w:rPr>
          <w:rFonts w:ascii="Times New Roman" w:hAnsi="Times New Roman"/>
          <w:sz w:val="26"/>
          <w:szCs w:val="26"/>
          <w:lang w:val="lv-LV"/>
        </w:rPr>
      </w:pPr>
      <w:r w:rsidRPr="00A25499">
        <w:rPr>
          <w:rFonts w:ascii="Times New Roman" w:hAnsi="Times New Roman"/>
          <w:sz w:val="26"/>
          <w:szCs w:val="26"/>
          <w:lang w:val="lv-LV"/>
        </w:rPr>
        <w:t>Cieņā</w:t>
      </w:r>
    </w:p>
    <w:p w14:paraId="1A3FDCD6" w14:textId="77777777" w:rsidR="00CD56A4" w:rsidRPr="00A25499" w:rsidRDefault="00CD56A4" w:rsidP="00CD56A4">
      <w:pPr>
        <w:tabs>
          <w:tab w:val="left" w:pos="5670"/>
        </w:tabs>
        <w:spacing w:after="0" w:line="240" w:lineRule="auto"/>
        <w:rPr>
          <w:rFonts w:ascii="Times New Roman" w:hAnsi="Times New Roman"/>
          <w:sz w:val="26"/>
          <w:szCs w:val="26"/>
          <w:lang w:val="lv-LV"/>
        </w:rPr>
      </w:pPr>
    </w:p>
    <w:p w14:paraId="1F07B198" w14:textId="77777777" w:rsidR="00CD56A4" w:rsidRPr="00A25499" w:rsidRDefault="00C076AA" w:rsidP="00CD56A4">
      <w:pPr>
        <w:tabs>
          <w:tab w:val="left" w:pos="5670"/>
        </w:tabs>
        <w:spacing w:after="0" w:line="240" w:lineRule="auto"/>
        <w:rPr>
          <w:rFonts w:ascii="Times New Roman" w:hAnsi="Times New Roman"/>
          <w:sz w:val="26"/>
          <w:szCs w:val="26"/>
          <w:lang w:val="lv-LV"/>
        </w:rPr>
      </w:pPr>
      <w:r w:rsidRPr="00A25499">
        <w:rPr>
          <w:rFonts w:ascii="Times New Roman" w:hAnsi="Times New Roman"/>
          <w:sz w:val="26"/>
          <w:szCs w:val="26"/>
          <w:lang w:val="lv-LV"/>
        </w:rPr>
        <w:t xml:space="preserve">Valsts sekretāra </w:t>
      </w:r>
      <w:r w:rsidRPr="00A25499">
        <w:rPr>
          <w:rFonts w:ascii="Times New Roman" w:hAnsi="Times New Roman"/>
          <w:noProof/>
          <w:sz w:val="26"/>
          <w:szCs w:val="26"/>
          <w:lang w:val="lv-LV"/>
        </w:rPr>
        <w:t>vietniece</w:t>
      </w:r>
      <w:r w:rsidRPr="00A25499">
        <w:rPr>
          <w:rFonts w:ascii="Times New Roman" w:hAnsi="Times New Roman"/>
          <w:noProof/>
          <w:sz w:val="26"/>
          <w:szCs w:val="26"/>
          <w:lang w:val="lv-LV"/>
        </w:rPr>
        <w:tab/>
      </w:r>
      <w:r w:rsidRPr="00A25499">
        <w:rPr>
          <w:rFonts w:ascii="Times New Roman" w:hAnsi="Times New Roman"/>
          <w:noProof/>
          <w:sz w:val="26"/>
          <w:szCs w:val="26"/>
          <w:lang w:val="lv-LV"/>
        </w:rPr>
        <w:tab/>
      </w:r>
      <w:r w:rsidRPr="00A25499">
        <w:rPr>
          <w:rFonts w:ascii="Times New Roman" w:hAnsi="Times New Roman"/>
          <w:noProof/>
          <w:sz w:val="26"/>
          <w:szCs w:val="26"/>
          <w:lang w:val="lv-LV"/>
        </w:rPr>
        <w:tab/>
      </w:r>
      <w:r w:rsidRPr="00A25499">
        <w:rPr>
          <w:rFonts w:ascii="Times New Roman" w:hAnsi="Times New Roman"/>
          <w:sz w:val="26"/>
          <w:szCs w:val="26"/>
          <w:lang w:val="lv-LV"/>
        </w:rPr>
        <w:tab/>
        <w:t>Zaiga Liepiņa</w:t>
      </w:r>
    </w:p>
    <w:tbl>
      <w:tblPr>
        <w:tblW w:w="0" w:type="auto"/>
        <w:tblInd w:w="108" w:type="dxa"/>
        <w:tblLook w:val="04A0" w:firstRow="1" w:lastRow="0" w:firstColumn="1" w:lastColumn="0" w:noHBand="0" w:noVBand="1"/>
      </w:tblPr>
      <w:tblGrid>
        <w:gridCol w:w="8222"/>
      </w:tblGrid>
      <w:tr w:rsidR="002A41D7" w14:paraId="356D02B5" w14:textId="77777777" w:rsidTr="00CD56A4">
        <w:trPr>
          <w:cantSplit/>
          <w:trHeight w:val="579"/>
        </w:trPr>
        <w:tc>
          <w:tcPr>
            <w:tcW w:w="8222" w:type="dxa"/>
          </w:tcPr>
          <w:p w14:paraId="0534E25F" w14:textId="77777777" w:rsidR="00CD56A4" w:rsidRDefault="00CD56A4" w:rsidP="00CD56A4">
            <w:pPr>
              <w:pStyle w:val="BodyTextIndent"/>
              <w:spacing w:before="0" w:after="0"/>
              <w:ind w:left="0"/>
            </w:pPr>
          </w:p>
          <w:p w14:paraId="58DD1B4B" w14:textId="77777777" w:rsidR="00CD56A4" w:rsidRDefault="00C076AA" w:rsidP="00CD56A4">
            <w:pPr>
              <w:pStyle w:val="BodyTextIndent"/>
              <w:spacing w:before="0" w:after="0"/>
              <w:ind w:left="0"/>
            </w:pPr>
            <w:r>
              <w:t>ŠIS DOKUMENTS IR ELEKTRONISKI PARAKSTĪTS AR DROŠU ELEKTRONISKO PARAKSTU UN SATUR LAIKA ZĪMOGU</w:t>
            </w:r>
          </w:p>
        </w:tc>
      </w:tr>
    </w:tbl>
    <w:p w14:paraId="320DBA43" w14:textId="77777777" w:rsidR="00CD56A4" w:rsidRDefault="00CD56A4" w:rsidP="00CD56A4">
      <w:pPr>
        <w:spacing w:after="0" w:line="240" w:lineRule="auto"/>
        <w:rPr>
          <w:rFonts w:ascii="Times New Roman" w:hAnsi="Times New Roman"/>
          <w:sz w:val="20"/>
          <w:szCs w:val="20"/>
          <w:lang w:val="lv-LV"/>
        </w:rPr>
      </w:pPr>
    </w:p>
    <w:p w14:paraId="53AF7461" w14:textId="77777777" w:rsidR="00CD56A4" w:rsidRPr="00784FFA" w:rsidRDefault="00C076AA" w:rsidP="00CD56A4">
      <w:pPr>
        <w:spacing w:after="0" w:line="240" w:lineRule="auto"/>
        <w:rPr>
          <w:rFonts w:ascii="Times New Roman" w:hAnsi="Times New Roman"/>
          <w:sz w:val="20"/>
          <w:szCs w:val="20"/>
          <w:lang w:val="lv-LV"/>
        </w:rPr>
      </w:pPr>
      <w:r w:rsidRPr="00784FFA">
        <w:rPr>
          <w:rFonts w:ascii="Times New Roman" w:hAnsi="Times New Roman"/>
          <w:noProof/>
          <w:sz w:val="20"/>
          <w:szCs w:val="20"/>
          <w:lang w:val="lv-LV"/>
        </w:rPr>
        <w:t>Juris Bulāns</w:t>
      </w:r>
      <w:r w:rsidRPr="00784FFA">
        <w:rPr>
          <w:rFonts w:ascii="Times New Roman" w:hAnsi="Times New Roman"/>
          <w:sz w:val="20"/>
          <w:szCs w:val="20"/>
          <w:lang w:val="lv-LV"/>
        </w:rPr>
        <w:t xml:space="preserve"> </w:t>
      </w:r>
      <w:r w:rsidRPr="00784FFA">
        <w:rPr>
          <w:rFonts w:ascii="Times New Roman" w:hAnsi="Times New Roman"/>
          <w:noProof/>
          <w:sz w:val="20"/>
          <w:szCs w:val="20"/>
          <w:lang w:val="lv-LV"/>
        </w:rPr>
        <w:t>67013156</w:t>
      </w:r>
    </w:p>
    <w:p w14:paraId="0D10977D" w14:textId="77777777" w:rsidR="00CD56A4" w:rsidRDefault="00D97B08" w:rsidP="00CD56A4">
      <w:pPr>
        <w:spacing w:after="0" w:line="240" w:lineRule="auto"/>
        <w:rPr>
          <w:rFonts w:ascii="Times New Roman" w:hAnsi="Times New Roman"/>
          <w:noProof/>
          <w:sz w:val="20"/>
          <w:szCs w:val="20"/>
          <w:lang w:val="lv-LV"/>
        </w:rPr>
      </w:pPr>
      <w:hyperlink r:id="rId7" w:history="1">
        <w:r w:rsidR="00C076AA" w:rsidRPr="00CB14E0">
          <w:rPr>
            <w:rStyle w:val="Hyperlink"/>
            <w:rFonts w:ascii="Times New Roman" w:hAnsi="Times New Roman"/>
            <w:noProof/>
            <w:sz w:val="20"/>
            <w:szCs w:val="20"/>
            <w:lang w:val="lv-LV"/>
          </w:rPr>
          <w:t>Juris.Bulans@em.gov.lv</w:t>
        </w:r>
      </w:hyperlink>
    </w:p>
    <w:p w14:paraId="50905F9D" w14:textId="77777777" w:rsidR="00CD56A4" w:rsidRPr="00784FFA" w:rsidRDefault="00C076AA" w:rsidP="00CD56A4">
      <w:pPr>
        <w:spacing w:after="0" w:line="240" w:lineRule="auto"/>
        <w:rPr>
          <w:rFonts w:ascii="Times New Roman" w:hAnsi="Times New Roman"/>
          <w:sz w:val="20"/>
          <w:szCs w:val="20"/>
          <w:lang w:val="lv-LV"/>
        </w:rPr>
      </w:pPr>
      <w:r>
        <w:rPr>
          <w:rFonts w:ascii="Times New Roman" w:hAnsi="Times New Roman"/>
          <w:noProof/>
          <w:sz w:val="20"/>
          <w:szCs w:val="20"/>
          <w:lang w:val="lv-LV"/>
        </w:rPr>
        <w:t xml:space="preserve">Grenada Sofija </w:t>
      </w:r>
      <w:r w:rsidRPr="009D09FE">
        <w:rPr>
          <w:rFonts w:ascii="Times New Roman" w:hAnsi="Times New Roman"/>
          <w:noProof/>
          <w:sz w:val="20"/>
          <w:szCs w:val="20"/>
        </w:rPr>
        <w:t>Demakina 67388647</w:t>
      </w:r>
    </w:p>
    <w:p w14:paraId="4DB0F5A2" w14:textId="77777777" w:rsidR="00CD56A4" w:rsidRDefault="00D97B08" w:rsidP="00CD56A4">
      <w:pPr>
        <w:spacing w:after="0" w:line="240" w:lineRule="auto"/>
        <w:rPr>
          <w:rFonts w:ascii="Times New Roman" w:hAnsi="Times New Roman"/>
          <w:sz w:val="28"/>
          <w:szCs w:val="28"/>
          <w:lang w:val="lv-LV"/>
        </w:rPr>
      </w:pPr>
      <w:hyperlink r:id="rId8" w:history="1">
        <w:r w:rsidR="00C076AA" w:rsidRPr="00282A94">
          <w:rPr>
            <w:rStyle w:val="Hyperlink"/>
            <w:rFonts w:ascii="Times New Roman" w:hAnsi="Times New Roman"/>
            <w:noProof/>
            <w:sz w:val="20"/>
            <w:szCs w:val="20"/>
            <w:lang w:val="lv-LV"/>
          </w:rPr>
          <w:t>Grenada.Sofija.Demakina@ptac.gov.lv</w:t>
        </w:r>
      </w:hyperlink>
    </w:p>
    <w:p w14:paraId="18CC1B66" w14:textId="77777777" w:rsidR="002E1474" w:rsidRPr="00784FFA" w:rsidRDefault="002E1474" w:rsidP="00CD56A4">
      <w:pPr>
        <w:spacing w:after="0" w:line="240" w:lineRule="auto"/>
        <w:jc w:val="right"/>
        <w:rPr>
          <w:rFonts w:ascii="Times New Roman" w:hAnsi="Times New Roman"/>
          <w:sz w:val="28"/>
          <w:szCs w:val="28"/>
          <w:lang w:val="lv-LV"/>
        </w:rPr>
      </w:pPr>
    </w:p>
    <w:sectPr w:rsidR="002E1474" w:rsidRPr="00784FFA" w:rsidSect="009B355D">
      <w:head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52DBA" w14:textId="77777777" w:rsidR="001357E9" w:rsidRDefault="00C076AA">
      <w:pPr>
        <w:spacing w:after="0" w:line="240" w:lineRule="auto"/>
      </w:pPr>
      <w:r>
        <w:separator/>
      </w:r>
    </w:p>
  </w:endnote>
  <w:endnote w:type="continuationSeparator" w:id="0">
    <w:p w14:paraId="71759220" w14:textId="77777777" w:rsidR="001357E9" w:rsidRDefault="00C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3DFD5" w14:textId="77777777" w:rsidR="00CD56A4" w:rsidRDefault="00C076AA">
      <w:pPr>
        <w:spacing w:after="0" w:line="240" w:lineRule="auto"/>
      </w:pPr>
      <w:r>
        <w:separator/>
      </w:r>
    </w:p>
  </w:footnote>
  <w:footnote w:type="continuationSeparator" w:id="0">
    <w:p w14:paraId="4854DB06" w14:textId="77777777" w:rsidR="00CD56A4" w:rsidRDefault="00C076AA">
      <w:pPr>
        <w:spacing w:after="0" w:line="240" w:lineRule="auto"/>
      </w:pPr>
      <w:r>
        <w:continuationSeparator/>
      </w:r>
    </w:p>
  </w:footnote>
  <w:footnote w:id="1">
    <w:p w14:paraId="08F1E4D0" w14:textId="77777777" w:rsidR="00CD56A4" w:rsidRDefault="00C076AA" w:rsidP="00CD56A4">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Ministru kabineta 2009. gada 28. jūlija noteikumi Nr. 815 “Noteikumi par būtiskām prasībām aerosola flakoniem un to marķēšanas un klasificēšanas kārtību”</w:t>
      </w:r>
    </w:p>
  </w:footnote>
  <w:footnote w:id="2">
    <w:p w14:paraId="42E3C4A6" w14:textId="77777777" w:rsidR="00CD56A4" w:rsidRPr="00CD56A4" w:rsidRDefault="00C076AA" w:rsidP="00CD56A4">
      <w:pPr>
        <w:pStyle w:val="FootnoteText"/>
        <w:jc w:val="both"/>
        <w:rPr>
          <w:rFonts w:ascii="Times New Roman" w:hAnsi="Times New Roman"/>
          <w:i/>
          <w:iCs/>
          <w:color w:val="000000"/>
        </w:rPr>
      </w:pPr>
      <w:r>
        <w:rPr>
          <w:rStyle w:val="FootnoteReference"/>
        </w:rPr>
        <w:footnoteRef/>
      </w:r>
      <w:r>
        <w:t xml:space="preserve"> </w:t>
      </w:r>
      <w:r w:rsidRPr="00CD56A4">
        <w:rPr>
          <w:rFonts w:ascii="Times New Roman" w:hAnsi="Times New Roman"/>
          <w:color w:val="000000"/>
          <w:shd w:val="clear" w:color="auto" w:fill="FFFFFF"/>
        </w:rPr>
        <w:t xml:space="preserve">Komisijas </w:t>
      </w:r>
      <w:bookmarkStart w:id="2" w:name="_Hlk52294040"/>
      <w:r w:rsidRPr="00CD56A4">
        <w:rPr>
          <w:rFonts w:ascii="Times New Roman" w:hAnsi="Times New Roman"/>
          <w:color w:val="000000"/>
          <w:shd w:val="clear" w:color="auto" w:fill="FFFFFF"/>
        </w:rPr>
        <w:t>2015. gada 17. novembra Īstenošanas regula (ES) 2015/2068</w:t>
      </w:r>
      <w:bookmarkEnd w:id="2"/>
      <w:r w:rsidRPr="00CD56A4">
        <w:rPr>
          <w:rFonts w:ascii="Times New Roman" w:hAnsi="Times New Roman"/>
          <w:color w:val="000000"/>
          <w:shd w:val="clear" w:color="auto" w:fill="FFFFFF"/>
        </w:rPr>
        <w:t xml:space="preserve">, </w:t>
      </w:r>
      <w:r w:rsidRPr="00CD56A4">
        <w:rPr>
          <w:rFonts w:ascii="Times New Roman" w:hAnsi="Times New Roman"/>
          <w:i/>
          <w:iCs/>
          <w:color w:val="000000"/>
          <w:shd w:val="clear" w:color="auto" w:fill="FFFFFF"/>
        </w:rPr>
        <w:t>ar ko saskaņā ar Eiropas Parlamenta un Padomes Regulu (ES) Nr.517/2014 izveido fluorētas siltumnīcefekta gāzes saturošu ražojumu un iekārtu marķējumu</w:t>
      </w:r>
    </w:p>
  </w:footnote>
  <w:footnote w:id="3">
    <w:p w14:paraId="36FBD9EA" w14:textId="77777777" w:rsidR="00CD56A4" w:rsidRDefault="00C076AA" w:rsidP="00CD56A4">
      <w:pPr>
        <w:pStyle w:val="FootnoteText"/>
        <w:jc w:val="both"/>
        <w:rPr>
          <w:rFonts w:ascii="Times New Roman" w:hAnsi="Times New Roman"/>
          <w:i/>
          <w:iCs/>
        </w:rPr>
      </w:pPr>
      <w:r>
        <w:rPr>
          <w:rStyle w:val="FootnoteReference"/>
        </w:rPr>
        <w:footnoteRef/>
      </w:r>
      <w:r>
        <w:t xml:space="preserve"> </w:t>
      </w:r>
      <w:bookmarkStart w:id="3" w:name="_Hlk52215706"/>
      <w:r>
        <w:rPr>
          <w:rFonts w:ascii="Times New Roman" w:hAnsi="Times New Roman"/>
        </w:rPr>
        <w:t xml:space="preserve">Ministru kabineta 2011.gada 28.jūnija noteikumi Nr.500 </w:t>
      </w:r>
      <w:bookmarkEnd w:id="3"/>
      <w:r>
        <w:rPr>
          <w:rFonts w:ascii="Times New Roman" w:hAnsi="Times New Roman"/>
        </w:rPr>
        <w:t>„</w:t>
      </w:r>
      <w:r>
        <w:rPr>
          <w:rFonts w:ascii="Times New Roman" w:hAnsi="Times New Roman"/>
          <w:i/>
          <w:iCs/>
        </w:rPr>
        <w:t>Noteikumi par transportējamām spiedieniekārtām</w:t>
      </w:r>
      <w:r>
        <w:rPr>
          <w:rFonts w:ascii="Times New Roman" w:hAnsi="Times New Roman"/>
        </w:rPr>
        <w:t xml:space="preserve">”, kuros ir iekļautas tiesību normas, kas izriet no Eiropas Parlamenta un Padomes 2010.gada 16.jūnija Direktīvas 2010/35/ES </w:t>
      </w:r>
      <w:r>
        <w:rPr>
          <w:rFonts w:ascii="Times New Roman" w:hAnsi="Times New Roman"/>
          <w:i/>
          <w:iCs/>
        </w:rPr>
        <w:t>par pārvietojamām spiediena iekārtām un par Padomes Direktīvu 76/767/EEK, 84/525/EEK, 84/526/EEK, 84/527/EEK un 1999/36/EK atcelšanu</w:t>
      </w:r>
    </w:p>
  </w:footnote>
  <w:footnote w:id="4">
    <w:p w14:paraId="76E3B607" w14:textId="77777777" w:rsidR="00CD56A4" w:rsidRDefault="00C076AA" w:rsidP="00CD56A4">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Eiropas Nolīgums par bīstamo kravu starptautiskiem pārvadājumiem ar autotransportu</w:t>
      </w:r>
    </w:p>
  </w:footnote>
  <w:footnote w:id="5">
    <w:p w14:paraId="18CB2A73" w14:textId="77777777" w:rsidR="00CD56A4" w:rsidRDefault="00C076AA" w:rsidP="00CD56A4">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Konvencijas par starptautiskajiem dzelzceļa pārvadājumiem (COTIF) C papildinājuma “</w:t>
      </w:r>
      <w:r>
        <w:rPr>
          <w:rFonts w:ascii="Times New Roman" w:hAnsi="Times New Roman"/>
          <w:i/>
          <w:iCs/>
        </w:rPr>
        <w:t>Noteikumi par bīstamo kravu starptautiskajiem dzelzceļa pārvadājumiem (RID)</w:t>
      </w:r>
      <w:r>
        <w:rPr>
          <w:rFonts w:ascii="Times New Roman" w:hAnsi="Times New Roman"/>
        </w:rPr>
        <w:t>” pielikums</w:t>
      </w:r>
    </w:p>
  </w:footnote>
  <w:footnote w:id="6">
    <w:p w14:paraId="452833A7" w14:textId="77777777" w:rsidR="00CD56A4" w:rsidRDefault="00C076AA" w:rsidP="00CD56A4">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Ministru kabineta 2011.gada 28.jūnija noteikumi Nr.500 “</w:t>
      </w:r>
      <w:r>
        <w:rPr>
          <w:rFonts w:ascii="Times New Roman" w:hAnsi="Times New Roman"/>
          <w:i/>
        </w:rPr>
        <w:t>Noteikumi par transportējamām spiedieniekārtām</w:t>
      </w:r>
      <w:r>
        <w:rPr>
          <w:rFonts w:ascii="Times New Roman" w:hAnsi="Times New Roman"/>
        </w:rPr>
        <w:t>”</w:t>
      </w:r>
    </w:p>
  </w:footnote>
  <w:footnote w:id="7">
    <w:p w14:paraId="32525826" w14:textId="77777777" w:rsidR="00CD56A4" w:rsidRDefault="00C076AA" w:rsidP="00CD56A4">
      <w:pPr>
        <w:pStyle w:val="FootnoteText"/>
        <w:jc w:val="both"/>
        <w:rPr>
          <w:rFonts w:ascii="Times New Roman" w:hAnsi="Times New Roman"/>
        </w:rPr>
      </w:pPr>
      <w:r>
        <w:rPr>
          <w:rStyle w:val="FootnoteReference"/>
        </w:rPr>
        <w:footnoteRef/>
      </w:r>
      <w:r>
        <w:t xml:space="preserve"> </w:t>
      </w:r>
      <w:r>
        <w:rPr>
          <w:rFonts w:ascii="Times New Roman" w:hAnsi="Times New Roman"/>
        </w:rPr>
        <w:t>Ministru kabineta 2014.gada 9.decembra noteikumi Nr.755 “</w:t>
      </w:r>
      <w:r>
        <w:rPr>
          <w:rFonts w:ascii="Times New Roman" w:hAnsi="Times New Roman"/>
          <w:i/>
          <w:iCs/>
        </w:rPr>
        <w:t>Gāzes balonu aprites, uzraudzības un kontroles kārtība</w:t>
      </w:r>
      <w:r>
        <w:rPr>
          <w:rFonts w:ascii="Times New Roman" w:hAnsi="Times New Roman"/>
        </w:rPr>
        <w:t>”</w:t>
      </w:r>
    </w:p>
  </w:footnote>
  <w:footnote w:id="8">
    <w:p w14:paraId="1C0C726A" w14:textId="77777777" w:rsidR="00CD56A4" w:rsidRDefault="00C076AA" w:rsidP="00CD56A4">
      <w:pPr>
        <w:pStyle w:val="FootnoteText"/>
        <w:jc w:val="both"/>
        <w:rPr>
          <w:rFonts w:ascii="Times New Roman" w:hAnsi="Times New Roman"/>
        </w:rPr>
      </w:pPr>
      <w:r>
        <w:rPr>
          <w:rStyle w:val="FootnoteReference"/>
        </w:rPr>
        <w:footnoteRef/>
      </w:r>
      <w:r>
        <w:t xml:space="preserve"> </w:t>
      </w:r>
      <w:r>
        <w:rPr>
          <w:rFonts w:ascii="Times New Roman" w:hAnsi="Times New Roman"/>
        </w:rPr>
        <w:t>transportējamā spiedieniekārtas ar ūdens ietilpību ne vairāk kā 150 litri, kurām atbilstoši normatīvajiem aktiem par transportējamām spiedieniekārtām ir veikta atbilstības novērtēšana vai atkārtota atbilstības novērtēšana un tās ir marķētas ar atbilstību apliecinošo marķējumu – “Pī” zīmi</w:t>
      </w:r>
    </w:p>
  </w:footnote>
  <w:footnote w:id="9">
    <w:p w14:paraId="248E005C" w14:textId="77777777" w:rsidR="00CD56A4" w:rsidRDefault="00C076AA" w:rsidP="00CD56A4">
      <w:pPr>
        <w:pStyle w:val="FootnoteText"/>
        <w:rPr>
          <w:rFonts w:ascii="Times New Roman" w:hAnsi="Times New Roman"/>
        </w:rPr>
      </w:pPr>
      <w:r>
        <w:rPr>
          <w:rStyle w:val="FootnoteReference"/>
        </w:rPr>
        <w:footnoteRef/>
      </w:r>
      <w:r>
        <w:t xml:space="preserve"> </w:t>
      </w:r>
      <w:r>
        <w:rPr>
          <w:rFonts w:ascii="Times New Roman" w:hAnsi="Times New Roman"/>
        </w:rPr>
        <w:t>Noteikumu Nr.755 2.2.apakšpunkts</w:t>
      </w:r>
    </w:p>
  </w:footnote>
  <w:footnote w:id="10">
    <w:p w14:paraId="76B09792" w14:textId="77777777" w:rsidR="00CD56A4" w:rsidRDefault="00C076AA" w:rsidP="00CD56A4">
      <w:pPr>
        <w:pStyle w:val="FootnoteText"/>
        <w:jc w:val="both"/>
      </w:pPr>
      <w:r>
        <w:rPr>
          <w:rStyle w:val="FootnoteReference"/>
        </w:rPr>
        <w:footnoteRef/>
      </w:r>
      <w:r>
        <w:t xml:space="preserve"> </w:t>
      </w:r>
      <w:r w:rsidRPr="00CD56A4">
        <w:rPr>
          <w:rFonts w:ascii="Times New Roman" w:hAnsi="Times New Roman"/>
          <w:color w:val="000000"/>
          <w:shd w:val="clear" w:color="auto" w:fill="FFFFFF"/>
        </w:rPr>
        <w:t>persona, kura organizē gāzes balonu uzpildes procesu un to piedāvāšanu gāzes balonu tirgotājam vai gāzes balonu lietotājam (Noteikumu Nr.755 2.5.apakšpunkts)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068A5" w14:textId="77777777" w:rsidR="00CD56A4" w:rsidRDefault="00CD56A4" w:rsidP="009B355D">
    <w:pPr>
      <w:pStyle w:val="Header"/>
      <w:rPr>
        <w:rFonts w:ascii="Times New Roman" w:hAnsi="Times New Roman"/>
      </w:rPr>
    </w:pPr>
  </w:p>
  <w:p w14:paraId="04DB7988" w14:textId="77777777" w:rsidR="00CD56A4" w:rsidRDefault="00CD56A4" w:rsidP="009B355D">
    <w:pPr>
      <w:pStyle w:val="Header"/>
      <w:rPr>
        <w:rFonts w:ascii="Times New Roman" w:hAnsi="Times New Roman"/>
      </w:rPr>
    </w:pPr>
  </w:p>
  <w:p w14:paraId="72D205FC" w14:textId="77777777" w:rsidR="00CD56A4" w:rsidRDefault="00CD56A4" w:rsidP="009B355D">
    <w:pPr>
      <w:pStyle w:val="Header"/>
      <w:rPr>
        <w:rFonts w:ascii="Times New Roman" w:hAnsi="Times New Roman"/>
      </w:rPr>
    </w:pPr>
  </w:p>
  <w:p w14:paraId="7E3C7B7F" w14:textId="77777777" w:rsidR="00CD56A4" w:rsidRDefault="00CD56A4" w:rsidP="009B355D">
    <w:pPr>
      <w:pStyle w:val="Header"/>
      <w:rPr>
        <w:rFonts w:ascii="Times New Roman" w:hAnsi="Times New Roman"/>
      </w:rPr>
    </w:pPr>
  </w:p>
  <w:p w14:paraId="715AA727" w14:textId="77777777" w:rsidR="00CD56A4" w:rsidRDefault="00CD56A4" w:rsidP="009B355D">
    <w:pPr>
      <w:pStyle w:val="Header"/>
      <w:rPr>
        <w:rFonts w:ascii="Times New Roman" w:hAnsi="Times New Roman"/>
      </w:rPr>
    </w:pPr>
  </w:p>
  <w:p w14:paraId="3DCB7249" w14:textId="77777777" w:rsidR="00CD56A4" w:rsidRDefault="00CD56A4" w:rsidP="009B355D">
    <w:pPr>
      <w:pStyle w:val="Header"/>
      <w:rPr>
        <w:rFonts w:ascii="Times New Roman" w:hAnsi="Times New Roman"/>
      </w:rPr>
    </w:pPr>
  </w:p>
  <w:p w14:paraId="40EC42BF" w14:textId="77777777" w:rsidR="00CD56A4" w:rsidRDefault="00CD56A4" w:rsidP="009B355D">
    <w:pPr>
      <w:pStyle w:val="Header"/>
      <w:rPr>
        <w:rFonts w:ascii="Times New Roman" w:hAnsi="Times New Roman"/>
      </w:rPr>
    </w:pPr>
  </w:p>
  <w:p w14:paraId="42C96643" w14:textId="77777777" w:rsidR="00CD56A4" w:rsidRDefault="00CD56A4" w:rsidP="009B355D">
    <w:pPr>
      <w:pStyle w:val="Header"/>
      <w:rPr>
        <w:rFonts w:ascii="Times New Roman" w:hAnsi="Times New Roman"/>
      </w:rPr>
    </w:pPr>
  </w:p>
  <w:p w14:paraId="4365001E" w14:textId="77777777" w:rsidR="00CD56A4" w:rsidRDefault="00CD56A4" w:rsidP="009B355D">
    <w:pPr>
      <w:pStyle w:val="Header"/>
      <w:rPr>
        <w:rFonts w:ascii="Times New Roman" w:hAnsi="Times New Roman"/>
      </w:rPr>
    </w:pPr>
  </w:p>
  <w:p w14:paraId="14C24855" w14:textId="77777777" w:rsidR="00CD56A4" w:rsidRDefault="00CD56A4" w:rsidP="009B355D">
    <w:pPr>
      <w:pStyle w:val="Header"/>
      <w:rPr>
        <w:rFonts w:ascii="Times New Roman" w:hAnsi="Times New Roman"/>
      </w:rPr>
    </w:pPr>
  </w:p>
  <w:p w14:paraId="7C5D98A7" w14:textId="77777777" w:rsidR="00CD56A4" w:rsidRDefault="00CD56A4">
    <w:pPr>
      <w:pStyle w:val="Header"/>
      <w:rPr>
        <w:rFonts w:ascii="Times New Roman" w:hAnsi="Times New Roman"/>
      </w:rPr>
    </w:pPr>
  </w:p>
  <w:p w14:paraId="2DB62C37" w14:textId="77777777" w:rsidR="00CD56A4" w:rsidRPr="009B355D" w:rsidRDefault="00C076AA">
    <w:pPr>
      <w:pStyle w:val="Header"/>
      <w:rPr>
        <w:rFonts w:ascii="Times New Roman" w:hAnsi="Times New Roman"/>
      </w:rPr>
    </w:pPr>
    <w:r>
      <w:rPr>
        <w:noProof/>
      </w:rPr>
      <w:drawing>
        <wp:anchor distT="0" distB="0" distL="114300" distR="114300" simplePos="0" relativeHeight="251658240" behindDoc="1" locked="0" layoutInCell="1" allowOverlap="1" wp14:anchorId="08FA7F40" wp14:editId="0CF08149">
          <wp:simplePos x="0" y="0"/>
          <wp:positionH relativeFrom="page">
            <wp:posOffset>1087120</wp:posOffset>
          </wp:positionH>
          <wp:positionV relativeFrom="page">
            <wp:posOffset>742950</wp:posOffset>
          </wp:positionV>
          <wp:extent cx="5936615" cy="1033145"/>
          <wp:effectExtent l="0" t="0" r="0" b="0"/>
          <wp:wrapNone/>
          <wp:docPr id="102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95473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1" locked="0" layoutInCell="1" allowOverlap="1" wp14:anchorId="019C887E" wp14:editId="6D2CFB60">
              <wp:simplePos x="0" y="0"/>
              <wp:positionH relativeFrom="page">
                <wp:posOffset>1171575</wp:posOffset>
              </wp:positionH>
              <wp:positionV relativeFrom="page">
                <wp:posOffset>2030730</wp:posOffset>
              </wp:positionV>
              <wp:extent cx="5838825" cy="314325"/>
              <wp:effectExtent l="0" t="1905"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1ACAF" w14:textId="77777777" w:rsidR="00CD56A4" w:rsidRDefault="00C076AA" w:rsidP="009B355D">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 xml:space="preserve">Brīvības iela 55, </w:t>
                          </w:r>
                          <w:r>
                            <w:rPr>
                              <w:rFonts w:ascii="Times New Roman" w:eastAsia="Times New Roman" w:hAnsi="Times New Roman"/>
                              <w:color w:val="231F20"/>
                              <w:sz w:val="17"/>
                              <w:szCs w:val="17"/>
                            </w:rPr>
                            <w:t xml:space="preserve">Rīga, </w:t>
                          </w:r>
                          <w:r w:rsidRPr="007704BD">
                            <w:rPr>
                              <w:rFonts w:ascii="Times New Roman" w:eastAsia="Times New Roman" w:hAnsi="Times New Roman"/>
                              <w:color w:val="231F20"/>
                              <w:sz w:val="17"/>
                              <w:szCs w:val="17"/>
                            </w:rPr>
                            <w:t>LV-1519, tālr. 67013100, fakss 67280882, e-pasts pasts@em.gov.lv, www.em.gov.lv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19C887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" filled="f" stroked="f">
              <v:textbox inset="0,0,0,0">
                <w:txbxContent>
                  <w:p w14:paraId="5A21ACAF" w14:textId="77777777" w:rsidR="00CD56A4" w:rsidRDefault="00C076AA" w:rsidP="009B355D">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 xml:space="preserve">Brīvības iela 55, </w:t>
                    </w:r>
                    <w:r>
                      <w:rPr>
                        <w:rFonts w:ascii="Times New Roman" w:eastAsia="Times New Roman" w:hAnsi="Times New Roman"/>
                        <w:color w:val="231F20"/>
                        <w:sz w:val="17"/>
                        <w:szCs w:val="17"/>
                      </w:rPr>
                      <w:t xml:space="preserve">Rīga, </w:t>
                    </w:r>
                    <w:r w:rsidRPr="007704BD">
                      <w:rPr>
                        <w:rFonts w:ascii="Times New Roman" w:eastAsia="Times New Roman" w:hAnsi="Times New Roman"/>
                        <w:color w:val="231F20"/>
                        <w:sz w:val="17"/>
                        <w:szCs w:val="17"/>
                      </w:rPr>
                      <w:t>LV-1519, tālr. 67013100, fakss 67280882, e-pasts pasts@em.gov.lv, www.em.gov.lv</w:t>
                    </w:r>
                  </w:p>
                </w:txbxContent>
              </v:textbox>
              <w10:wrap anchorx="page" anchory="page"/>
            </v:shape>
          </w:pict>
        </mc:Fallback>
      </mc:AlternateContent>
    </w:r>
    <w:r>
      <w:rPr>
        <w:noProof/>
      </w:rPr>
      <mc:AlternateContent>
        <mc:Choice Requires="wpg">
          <w:drawing>
            <wp:anchor distT="0" distB="0" distL="114300" distR="114300" simplePos="0" relativeHeight="251659264" behindDoc="1" locked="0" layoutInCell="1" allowOverlap="1" wp14:anchorId="71B47527" wp14:editId="32FF5879">
              <wp:simplePos x="0" y="0"/>
              <wp:positionH relativeFrom="page">
                <wp:posOffset>1850390</wp:posOffset>
              </wp:positionH>
              <wp:positionV relativeFrom="page">
                <wp:posOffset>1903095</wp:posOffset>
              </wp:positionV>
              <wp:extent cx="4397375" cy="1270"/>
              <wp:effectExtent l="12065" t="7620" r="10160" b="1016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45B96"/>
    <w:rsid w:val="00067964"/>
    <w:rsid w:val="00084483"/>
    <w:rsid w:val="000A6346"/>
    <w:rsid w:val="00105A41"/>
    <w:rsid w:val="00124173"/>
    <w:rsid w:val="001357E9"/>
    <w:rsid w:val="001434A8"/>
    <w:rsid w:val="00153268"/>
    <w:rsid w:val="001D144B"/>
    <w:rsid w:val="00233DBA"/>
    <w:rsid w:val="00275B9E"/>
    <w:rsid w:val="002765F2"/>
    <w:rsid w:val="00282A94"/>
    <w:rsid w:val="002A41D7"/>
    <w:rsid w:val="002B3077"/>
    <w:rsid w:val="002C4CD8"/>
    <w:rsid w:val="002E1474"/>
    <w:rsid w:val="00377382"/>
    <w:rsid w:val="003F7D1C"/>
    <w:rsid w:val="00484B00"/>
    <w:rsid w:val="004B318D"/>
    <w:rsid w:val="00517616"/>
    <w:rsid w:val="00520AB9"/>
    <w:rsid w:val="00535564"/>
    <w:rsid w:val="005E0D83"/>
    <w:rsid w:val="005F02A8"/>
    <w:rsid w:val="006448DC"/>
    <w:rsid w:val="00652D7A"/>
    <w:rsid w:val="00663C3A"/>
    <w:rsid w:val="0067619D"/>
    <w:rsid w:val="00693967"/>
    <w:rsid w:val="006C1639"/>
    <w:rsid w:val="006D3871"/>
    <w:rsid w:val="007704BD"/>
    <w:rsid w:val="00784FFA"/>
    <w:rsid w:val="007940A9"/>
    <w:rsid w:val="00794D42"/>
    <w:rsid w:val="007B3BA5"/>
    <w:rsid w:val="007B48EC"/>
    <w:rsid w:val="007E4D1F"/>
    <w:rsid w:val="00815277"/>
    <w:rsid w:val="00871F43"/>
    <w:rsid w:val="00876C21"/>
    <w:rsid w:val="008C5DCC"/>
    <w:rsid w:val="009002FF"/>
    <w:rsid w:val="00954D5A"/>
    <w:rsid w:val="009967EE"/>
    <w:rsid w:val="009A1DA5"/>
    <w:rsid w:val="009B355D"/>
    <w:rsid w:val="009D09FE"/>
    <w:rsid w:val="00A100D4"/>
    <w:rsid w:val="00A12078"/>
    <w:rsid w:val="00A16D66"/>
    <w:rsid w:val="00A25499"/>
    <w:rsid w:val="00A36131"/>
    <w:rsid w:val="00A831CA"/>
    <w:rsid w:val="00A932DD"/>
    <w:rsid w:val="00AC2357"/>
    <w:rsid w:val="00AE748B"/>
    <w:rsid w:val="00B71D61"/>
    <w:rsid w:val="00C076AA"/>
    <w:rsid w:val="00C47F57"/>
    <w:rsid w:val="00CB14E0"/>
    <w:rsid w:val="00CD56A4"/>
    <w:rsid w:val="00D21FA6"/>
    <w:rsid w:val="00D4379D"/>
    <w:rsid w:val="00D55B4B"/>
    <w:rsid w:val="00D859C2"/>
    <w:rsid w:val="00D97B08"/>
    <w:rsid w:val="00DF17FA"/>
    <w:rsid w:val="00E06505"/>
    <w:rsid w:val="00E365CE"/>
    <w:rsid w:val="00E57795"/>
    <w:rsid w:val="00E849D2"/>
    <w:rsid w:val="00ED2ED7"/>
    <w:rsid w:val="00F338FB"/>
    <w:rsid w:val="00F60586"/>
    <w:rsid w:val="00FA5028"/>
    <w:rsid w:val="00FF02A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150A3"/>
  <w15:chartTrackingRefBased/>
  <w15:docId w15:val="{8AD6F7B2-D385-4390-A512-7F29B944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377382"/>
    <w:pPr>
      <w:widowControl/>
      <w:spacing w:before="120" w:after="120" w:line="240" w:lineRule="auto"/>
      <w:ind w:left="283"/>
    </w:pPr>
    <w:rPr>
      <w:rFonts w:ascii="Times New Roman" w:eastAsia="Times New Roman" w:hAnsi="Times New Roman"/>
      <w:sz w:val="20"/>
      <w:szCs w:val="20"/>
      <w:lang w:val="lv-LV"/>
    </w:rPr>
  </w:style>
  <w:style w:type="character" w:customStyle="1" w:styleId="BodyTextIndentChar">
    <w:name w:val="Body Text Indent Char"/>
    <w:link w:val="BodyTextIndent"/>
    <w:uiPriority w:val="99"/>
    <w:rsid w:val="00377382"/>
    <w:rPr>
      <w:rFonts w:ascii="Times New Roman" w:eastAsia="Times New Roman" w:hAnsi="Times New Roman"/>
      <w:lang w:eastAsia="en-US"/>
    </w:rPr>
  </w:style>
  <w:style w:type="paragraph" w:styleId="FootnoteText">
    <w:name w:val="footnote text"/>
    <w:basedOn w:val="Normal"/>
    <w:link w:val="FootnoteTextChar"/>
    <w:uiPriority w:val="99"/>
    <w:semiHidden/>
    <w:unhideWhenUsed/>
    <w:rsid w:val="00CD56A4"/>
    <w:rPr>
      <w:sz w:val="20"/>
      <w:szCs w:val="20"/>
    </w:rPr>
  </w:style>
  <w:style w:type="character" w:customStyle="1" w:styleId="FootnoteTextChar">
    <w:name w:val="Footnote Text Char"/>
    <w:basedOn w:val="DefaultParagraphFont"/>
    <w:link w:val="FootnoteText"/>
    <w:uiPriority w:val="99"/>
    <w:semiHidden/>
    <w:rsid w:val="00CD56A4"/>
    <w:rPr>
      <w:lang w:val="en-US" w:eastAsia="en-US"/>
    </w:rPr>
  </w:style>
  <w:style w:type="character" w:styleId="FootnoteReference">
    <w:name w:val="footnote reference"/>
    <w:uiPriority w:val="99"/>
    <w:semiHidden/>
    <w:unhideWhenUsed/>
    <w:qFormat/>
    <w:rsid w:val="00CD56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Grenada.Sofija.Demakina@ptac.gov.lv" TargetMode="External"/><Relationship Id="rId3" Type="http://schemas.openxmlformats.org/officeDocument/2006/relationships/settings" Target="settings.xml"/><Relationship Id="rId7" Type="http://schemas.openxmlformats.org/officeDocument/2006/relationships/hyperlink" Target="mailto:Juris.Bulans@e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3866</Words>
  <Characters>2204</Characters>
  <Application>Microsoft Office Word</Application>
  <DocSecurity>0</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Andrejs Šišuļins</cp:lastModifiedBy>
  <cp:revision>4</cp:revision>
  <dcterms:created xsi:type="dcterms:W3CDTF">2021-04-29T13:51:00Z</dcterms:created>
  <dcterms:modified xsi:type="dcterms:W3CDTF">2021-05-10T06:18:00Z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