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šo un turpmākos 2.-5. punktus, jo tie dublē šā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dāvinājumus, ziedojumus (finanšu, mantiskā un nemantiskā veidā) un citu palīdzību no fiziskām un juridiskām personām, tai skaitā ārvalstu personām,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skaidrojumu, kādā veidā izpaudīsies "cita palīdzība no fiziskām un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tostarp slēgt sadarbības līgumus (tai skaitā daudzgadu),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precizēt projektu vai sniegt skaidrojumu anotācijā, kādi līgumi tiks slēgti ar nevalstiskajām organizācijām un komersantiem, ņemot vērā, ka atbilstoši Valsts pārvaldes iekārtas likuma 54. panta piektajai daļai sadarbības līgumus slēdz starp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rīcībā esošo nevalstisko budžeta līdzekļu atlikums saimnieciskā gada beigās var tikt izmantots nākamajā saimnieciskajā gadā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jo nav skaidrs, kas ir "nevalstisko budžetu līdzekļu atlikums".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var veikt saimniecisko darbību tikai tādā apjomā, kāds nepieciešams Fonda mērķu un uzdevumu īstenošanai, un neveic komercdarbību, kas nav tieši saistīta ar šiem mērķiem. Fonds nedrīkst būt par biedru personālsabiedrībā vai dalībnieku (akcionāru) kapitālsabiedrībā, izņemot gadījumus, kad tas nepieciešams Fonda mērķu sasniegšanai un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nosacījumus, kad publiska persona drīkst darboties privāto tiesību jomā noteic Valsts pārvaldes iekārtas likuma XI nodaļa. Valsts pārvaldes iekārtas likuma 87. panta pirmā daļa nosaka tos gadījumus, kad publiska persona drīkst darboties privāto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darījumus, kas nepieciešami tās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dibinot kapitālsabiedrību vai iegūstot līdzdalību esošā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Fonda darbību privāto tiesību jomā (tai skaitā gadījumus, kad Fonds drīkst veikt komercdarbību) nosaka Valsts pārvaldes iekārtas likums, līdz ar to projektā nav nepieciešams to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 atbilstoši Komerclikuma 1. pantam tiek nošķirta komercdarbība un saimnieciskā darbība. Proti, komercdarbība ir  ir atklāta saimnieciskā darbība, kuru savā vārdā peļņas gūšanas nolūkā veic komersants. Komercdarbība ir viens no uzņēmējdarbības veidiem. Savukārt saimnieciskā darbība ir jebkura sistemātiska, patstāvīga darbība par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padomes sēdes tiek protokolētas, un pieņemtie lēmumi ir publiski pieejami, ievērojot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papildināt anotāciju ar skaidrojumu, kādi normatīvie akti tiks ievēroti, publiskojot fonda padomes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25.05.2026.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25.05.2026.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