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projektam pievienotajā pielikumā noteikto maksimāli pieejamo finansējumu projektiem, nodrošinot, ka netiek pārsniegts MK noteikumu projekta 9.punktā noteiktais finansējums. Vēršam uzmanību, ka MK noteikumu projekta pielikumā plānotais finansējums ir par vienu eirocentu lielāks nekā MK noteikumu projekta 9.punktā noteiktais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nosaka maksimālo attiecināmo Eiropas Reģionālās attīstības fonda (turpmāk - ERAF) finansējuma apmēru. Vienlaikus lūdzam anotācijā skaidrot ERAF līdzfinansējuma likmes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nav iekļauti vienkāršoto izmaksu piemērošanas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Nr.1303/2013 67. panta 2.a punktu projektos, kuri saņem atbalstu no ERAF un ESF un kam publiskais atbalsts nepārsniedz 100 tūkst. EUR, obligāti jāpiemēro vienkāršotās izmaksas. Vienkāršoto izmaksu risinājumiem jāaptver visas projekta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kultūras pakalpojumu šo noteikumu ietvaros uzskatāma projekta iesniedzēja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pamatnostādnes 2022.-2027.gadam “Kultūrvalsts” atrodama šāda “kultūras pakalpojums”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un radošo nozaru pakalpojumi sabiedrībai, tostarp kultūras norises, ar kuriem kultūras vērtības vai kultūras mantojums tiek padarīts pieejams vai komunicēts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likumā pakalpojums definēts kā “personas saimnieciskās darbības ietvaros par atlīdzību vai bez tās izpildīts pakalpojuma saņēmēja pasūtījums.”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norādītais jēdziena “kultūras pakalpojums” pirmšķietami pēc būtības neatbilst pakalpojuma jēdzienam. Lūdzam MKN anotācijā skaidrot, kā projekta iesniedzēja darbības nodrošināšana būtu uzskatāma par kultūras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būtu izmērāms MKN projekta 8.2. apakšpunktā noteiktais rādītājs - rezultāta rādītājs: attīstīti ne mazāk kā 32</w:t>
            </w:r>
            <w:r w:rsidR="00000000" w:rsidRPr="00000000" w:rsidDel="00000000">
              <w:rPr>
                <w:b w:val="1"/>
                <w:rtl w:val="0"/>
              </w:rPr>
              <w:t xml:space="preserve"> jauni </w:t>
            </w:r>
            <w:r w:rsidR="00000000" w:rsidRPr="00000000" w:rsidDel="00000000">
              <w:rPr>
                <w:rtl w:val="0"/>
              </w:rPr>
              <w:t xml:space="preserve">pakalpojumi -, ja tiek atbalstītas jau esošas kultūras nozares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atbalstīto kultūras nozares organizāciju skaits – ne mazāk kā 32 kultūras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sasniedzamo iznākuma rādītāja vērtību uz 33 kultūras organizācijām vai skaidrot kā tiks sasniegta Darbības programmā 13.1.4. Specifiskajam atbalsta mērķim noteiktā šī rādītāja sasniedzamā vērtība </w:t>
            </w:r>
            <w:r w:rsidR="00000000" w:rsidRPr="00000000" w:rsidDel="00000000">
              <w:rPr>
                <w:b w:val="1"/>
                <w:rtl w:val="0"/>
              </w:rPr>
              <w:t xml:space="preserve">46 kultūras organizācijas</w:t>
            </w:r>
            <w:r w:rsidR="00000000" w:rsidRPr="00000000" w:rsidDel="00000000">
              <w:rPr>
                <w:rtl w:val="0"/>
              </w:rPr>
              <w:t xml:space="preserve">, ņemot vērā, ka 13.1.4. Specifiskā atbalsta mērķa 2. un 3.kārtas MK noteikumos kopumā paredzēts atbalstīt 13 kultūras nozares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atbalstīto kultūras nozares organizāciju skaits – ne mazāk kā 32 kultūras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8.1. un 8.2.apakšpunktu, nodrošinot, ka atbilstoši darbības programmā “Izaugsme un nodarbinātība” (turpmāk – DP) noteiktajam, īstenojot 13.1.4.specifiskā atbalsta mērķa “Atveseļošanas pasākumi kultūras jomā” (turpmāk – 13.1.4.SAM) pirmās, otrās un trešās atlases kārtu, tiek nodrošināta  DP noteiktā sasniedzamā rezultāta rādītāja “Attīstīti jauni pakalpojumi” (46 pakalpojumi) un iznākuma rādītāja “Atbalstīto kultūras nozares organizāciju skaits” (46 kultūras nozares organizācijas) sasniegšana. Vēršam uzmanību, ka šobrīd, sasummējot minētos rādītājus pa visām plānotajām kārtām, tiks attīstīti tikai 45 pakalpojumi un atbalstītas tikai 45 kultūras nozares organizācijas, kas neatbilst DP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attīstīti ne mazāk kā 32 jauni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sasniedzamo rezultāta rādītāja vērtību uz 33 jauniem pakalpojumiem vai skaidrot kā tiks sasniegta Darbības programmā 13.1.4. Specifiskajam atbalsta mērķim noteiktā šī rādītāja sasniedzamā vērtība 46 jauni pakalpojumi, ņemot vērā, ka 13.1.4. Specifiskā atbalsta mērķa 2. un 3.kārtas MK noteikumos kopumā paredzēts attīstīt 13 jaunus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pieejamais kopējais attiecināmais finansējums ir ne mazāk kā 1 700 000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–1 353 455 </w:t>
            </w:r>
            <w:r w:rsidR="00000000" w:rsidRPr="00000000" w:rsidDel="00000000">
              <w:rPr>
                <w:i w:val="1"/>
                <w:rtl w:val="0"/>
              </w:rPr>
              <w:t xml:space="preserve">euro</w:t>
            </w:r>
            <w:r w:rsidR="00000000" w:rsidRPr="00000000" w:rsidDel="00000000">
              <w:rPr>
                <w:rtl w:val="0"/>
              </w:rPr>
              <w:t xml:space="preserve"> un valsts budžeta finansējums – 346 545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finansējumu, paredzot ERAF finansējumu 85% apmērā un valsts budžeta līdzfinansējumu 15% apmērā vai skaidrot, kāpēc finansējuma procentuālais sadalījums ir noteikts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projektu var īstenot sadarbībā ar sadarbības partneri, kas noteikti šo noteikumu pielikumā, ja sadarbības partneris ir daļa no projekta iesniedzēja darbības un nodrošina kultūrizglītības un kultūras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 apstiprinātie 13.1.4. pirmās projektu iesniegumu atlases kārtas vērtēšanas kritēriji neparedz sadarbības partneru iesaisti un vērtēšanu - aicinām precizēt UK apstiprināto kritēriju komplektu vai svītrot sadarbības partneru iesaisti no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projektu var īstenot sadarbībā ar sadarbības partneri, kas noteikti šo noteikumu pielikumā, ja sadarbības partneris ir daļa no projekta iesniedzēja darbības un nodrošina kultūrizglītības un kultūras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nodrošināšanai aicinām izteikt šo teikumu citādā redakcijā vai papildināt, lai izvairītos no interpretācijas, ka jebkura no MK notiekumu projekta 1. pielikumā norādītajām personām var būt gan projekta iesniedzējs, gan kāda cita iesniedzēja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Projektā iekļauj atbalstāmās darbības, kas sekmē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ieskatā grāmatvedis ir klasificējams kā projekta vadības personāls, ņemot vērā minēto, lūdzam izvērtēt MK noteikumu projekta 19.3.apakšpunktā norādīto atbalstāmo darbību un tās nosaukumu, kā arī ar to saistītās 22.1.apakšpunktā norādītās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FM 2.1. vadlīnijās minētajam darbinieka daļlaika izmaksas ir iekļaujamas projekta tiešajās attiecināmajās izmaksās, ja darbinieks noteiktā laika periodā (minimāli viens mēnesis) vismaz 30% no normālā darba laika pilda ar ES fondu jautājumiem saistītus amata pienākumus. Ja darbinieka amata pienākumu darba laiks darbam, kas saistīts ar ES fondiem, ir mazāks par 30%, tad darbinieka atlīdzības izmaksas var iekļaut projekta netiešajās attiecināmajās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ietvaros preču un pakalpojumu iepirkumos ir atbalstāmas vides prasības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šo prasību izpilde attiecībā uz izmaksām, kuru attiecināmības periods sācies pirms projekta īstenošanas uzsākšanas, kā arī pirms šo MK notiekumu spēkā stāšanās, ņemot vērā, ka iesniedzēji ir nevalstiskās organizācijas, kuru preču un pakalpojumu iegādi, kamēr tā netiek finansēta no publiskiem līdzekļiem, neregulē normatīvie akti iepirkumu jomā. Proti, lūdzam skaidrot, vai projektu iesniedzēji līdz šim ir ievērojuši MK 28.02.2017. noteikumu Nr. 104 nosacījumus, lai tādējādi tiktu nodrošināts, ka arī iepriekš radušās izmaksas ir tiem atbilstošas.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70 procentu apmērā no regulārajām finansējuma saņēmēja ikmēneša maksājumu izmaksām, kas nepieciešamas kultūras organizācijas darbības nodrošināšanai, tai skaitā izmaksas par telpu un zemes nomu, komunālajiem pakalpojumiem, sakaru pakalpojumiem, IT sistēmu uzturēšanas pakalpojumiem, apsardzes pakalpojumiem, uzņēmuma civiltiesisko apdrošināšanu, nekustamā īpašuma apdrošināšanu,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vadošās iestādes vadlīnijām Nr. 2.1. "Vadlīnijas attiecināmo un neattiecināmo izmaksu noteikšanai 2014.-2020.gada plānošanas periodā" izmaksas, kas minētas MK noteikumu projekta 22.4. un 22.5.apakšpunktos atbilst netiešajām izmaksām, lūdzam papildināt anotāciju ar skaidrojumu, kāpēc MK noteikumu projektā tās plānotas kā tiešās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70 procentu apmērā no regulārajām finansējuma saņēmēja ikmēneša maksājumu izmaksām, kas nepieciešamas kultūras organizācijas darbības nodrošināšanai, tai skaitā izmaksas par telpu un zemes nomu, komunālajiem pakalpojumiem, sakaru pakalpojumiem, IT sistēmu uzturēšanas pakalpojumiem, apsardzes pakalpojumiem, uzņēmuma civiltiesisko apdrošināšanu, nekustamā īpašuma apdrošināšanu, apsaimniekošanas pakalpojumiem un citiem saistītajiem maksājumiem, kas obligāti maksājami saskaņā ar normatīvajiem aktiem (piemēram, Rīgā teritorijas uzkopšana, nekustamā īpašuma nodoklis, liftu un pacēlāju tehniskā uzraudzība, ugunsdrošības noteikumu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projekta 22.4. un 22.5. apakšpunktā norādīto izmaksu atbilstību FM Vadlīnijās attiecināmo un neattiecināmo izmaksu noteikšanai 2014.-2020.gada plānošanas periodā noteiktajiem tiešo attiecināmo izmaksu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Specifiskā atbalsta pirmās atlases kārtas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virknei biedrību, kas iekļautas projektu iesniegumu iesniedzēju sarakstā noteikumu projekta pielikumā, t.sk. ar kultūras jomu saistītu biedru asociācijām un savienībām. Saskaņā ar ES Tiesu praksi un Eiropas Komisijas skaidrojumu (sk. Komisijas paziņojuma par Līguma par Eiropas Savienības darbību 107. panta 1. punktā minēto valsts atbalsta jēdzienu 33.-37.punktu)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Savukārt asociācijas, savienības, padomes utml. ir organizācijas vai personu apvienības, kam ir kopīgi saimnieciski, politiski, zinātniski vai kādi citi uzdevumi, proti, konkrētajā gadījumā šīs organizācijas apvieno biedrus, kas darbojas kultūras jomā, lai pārstāvētu to intereses, nevis pašu organizāciju darbība kā tāda ir kvalificējama kā darbība ar kultūras mērķi. Līdz ar to, attiecībā uz šādām organizācijām nav attiecināmi tādi komercdarbības atbalsta izslēdzošie nosacījumi, kas attiecināmi uz organizācijām ar kultūras darbības mērķi (MK noteikumu projekta 29.punkts). Attiecīgi, ja atbalsta programmas ietvaros netiek plānots sniegt atbalstu saimnieciskās darbības veikšanai, uz biedrībām - asociācijām, savienībām, padomēm utml. ir attiecināmi tie paši nosacījumi, kā uz jebkuru citu subjektu. Papildus lūdzam skatīt materiālu “NVO saimnieciskā darbība valsts atbalsta izpratnē (29.07.2021)” Finanšu ministrijas mājas lapā https://www.fm.gov.lv/lv/skaidrojosie-materiali.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maksimālo avansa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projektu iesniegumu iesniedzēju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pielikuma nosaukumā norādīts “projektu iesniegumu iesniedzēju saraksts”, tomēr saskaņā ar MKN projekta 10. punktu, kā arī secinot no pielikuma 23. rindā norādītās informācijas, pielikumā norādīti arī sadarbības partneri. Attiecīgi aicinām pielikuma nosaukumu precizēt, attiecīgo nosaukuma daļu izsakot šādā redakcijā “projektu iesniegumu iesniedzēju un sadarbības partneru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sadaļā "Risinājuma apraksts" par sadarbības partneriem sniegto informāciju, skaidrojot, kādēļ partneri plānoti tikai biedrības “Latvijas Teātra darbinieku savienība” projektā. Vienlaikus lūdzam skaidrot, kā tieši minētie partneri nodrošina tieši šī projekta iesniedzēja, bet nevis kāda cita iesniedzēja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MKN projekta 29. un 30. punktā noteikto, Kultūras ministrija faktiski veic komercdarbības atbalsta neesamības uzraudzību, sniedzot savu atzinumu gan projekta iesnieguma vērtēšanas laikā, gan projekta īstenošanas laikā, aicinām precizēt anotācijas 4.lapas pēdējo rindkopu, kā atbildīgo par šī nosacījuma uzraudzību norādot Kultūras Ministriju, nevis sadarbības iestādi sadarbībā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ar atbilstošu informāciju papildināt anotāciju, kā un pēc kādiem nosacījumiem ir noteikts plānotais projektu iesniedzēju loks, ņemot vērā plānoto pieeju atlasi organizēt ierobežotas atlases ietvaros un paredzot atbalsta sniegšanu ierobežotam biedrību un nodibinājumu lokam. Vēršam uzmanību, ka no anotācijā sniegtās informācijas nav uzskatāmi un skaidri izsekojams, kā notikusi projektu iesniedzēju priekšatlase un vai ir nodrošināta vienlīdzīga pieeja atlasītajam projektu iesniedzēju lokam.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pirmās atlases kārtas īstenošanu nodrošina Kultūras ministrija kā atbildīgā iestāde (turpmāk – atbildīgā iestāde) un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iesaisti projekta īstenošanā nosaka Eiropas Savienības struktūrfondu un Kohēzijas fonda 2014.—2020.gada plānošanas perioda vadības likums, ierosinām šajā punktā svītrot vārdus "un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pieejamais kopējais attiecināmais finansējums ir ne mazāk kā 1 700 000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–1 353 455 </w:t>
            </w:r>
            <w:r w:rsidR="00000000" w:rsidRPr="00000000" w:rsidDel="00000000">
              <w:rPr>
                <w:i w:val="1"/>
                <w:rtl w:val="0"/>
              </w:rPr>
              <w:t xml:space="preserve">euro</w:t>
            </w:r>
            <w:r w:rsidR="00000000" w:rsidRPr="00000000" w:rsidDel="00000000">
              <w:rPr>
                <w:rtl w:val="0"/>
              </w:rPr>
              <w:t xml:space="preserve"> un valsts budžeta finansējums – 346 545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norādītais projektu iesniedzējiem un sadarbības partneriem pieejamais finansējums kopā veido 1 700 000.</w:t>
            </w:r>
            <w:r w:rsidR="00000000" w:rsidRPr="00000000" w:rsidDel="00000000">
              <w:rPr>
                <w:b w:val="1"/>
                <w:u w:val="single"/>
                <w:rtl w:val="0"/>
              </w:rPr>
              <w:t xml:space="preserve">01 </w:t>
            </w:r>
            <w:r w:rsidR="00000000" w:rsidRPr="00000000" w:rsidDel="00000000">
              <w:rPr>
                <w:rtl w:val="0"/>
              </w:rPr>
              <w:t xml:space="preserve">EUR. Lūdzam salāgot 9.punktā norādīto informāciju ar pielikumā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pieejamais kopējais attiecināmais finansējums ir ne mazāk kā 1 700 000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–1 353 455 </w:t>
            </w:r>
            <w:r w:rsidR="00000000" w:rsidRPr="00000000" w:rsidDel="00000000">
              <w:rPr>
                <w:i w:val="1"/>
                <w:rtl w:val="0"/>
              </w:rPr>
              <w:t xml:space="preserve">euro</w:t>
            </w:r>
            <w:r w:rsidR="00000000" w:rsidRPr="00000000" w:rsidDel="00000000">
              <w:rPr>
                <w:rtl w:val="0"/>
              </w:rPr>
              <w:t xml:space="preserve"> un valsts budžeta finansējums – 346 545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norādot ERAF un VB intensitāti procentos.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 noteikto izmaksu apmērs kopā nepārsniedz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noteikts MK noteikumu projekta 23.punktā minētais izmaksu ierobežojums. Ar attiecīgi skaidrojošu informāciju aicinām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projektu iesniegumu iesniedzēju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un norādīt "projekta iesniedzēji", nevis "projektu iesniegumu iesniedzēji", ņemot vērā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14.rindkopas tekstā "Projekts nosaka, ka izdevumi ir attiecināmi no 2023.gada 1.janvāra, izņemot Projekta </w:t>
            </w:r>
            <w:r w:rsidR="00000000" w:rsidRPr="00000000" w:rsidDel="00000000">
              <w:rPr>
                <w:b w:val="1"/>
                <w:u w:val="single"/>
                <w:rtl w:val="0"/>
              </w:rPr>
              <w:t xml:space="preserve">21.4. un 24.5.</w:t>
            </w:r>
            <w:r w:rsidR="00000000" w:rsidRPr="00000000" w:rsidDel="00000000">
              <w:rPr>
                <w:rtl w:val="0"/>
              </w:rPr>
              <w:t xml:space="preserve">apakšpunktā noteiktās izmaksas, kas ir attiecināmas no 2022.gada 1.oktobra." lūdzam precizēt atsauces uz apakšpunktiem precizējot attiecīgi uz 22.4. un 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izdevumi ir attiecināmi no 2023.gada 1.janvāra, izņemot Projekta </w:t>
            </w:r>
            <w:r w:rsidR="00000000" w:rsidRPr="00000000" w:rsidDel="00000000">
              <w:rPr>
                <w:u w:val="single"/>
                <w:rtl w:val="0"/>
              </w:rPr>
              <w:t xml:space="preserve">22.4. un 22.5.</w:t>
            </w:r>
            <w:r w:rsidR="00000000" w:rsidRPr="00000000" w:rsidDel="00000000">
              <w:rPr>
                <w:rtl w:val="0"/>
              </w:rPr>
              <w:t xml:space="preserve"> apakšpunktā noteiktās izmaksas, kas ir attiecināmas no 2022.gada 1.oktobra.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anotācijā iekļauto norādi par ārvalstu komandējumu izmaksu attiecināmību ar skaidrojumu, ka ārvalstu komandējuma izmaksām (dienas nauda un viesnīca/naktsmītnes izmaksas) ir jāatbilst likmēm, kuras noteiktas MK not.Nr.969 “Kārtība, kādā atlīdzināmi ar komandējumiem saistītie izdevumi” un to 1. pielikumam “Izdevumu diennakts normas komandējumiem (darba braucieniem)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11.11.2022.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11.11.2022.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Atzinumi_22-TA-3277.docx</dc:title>
</cp:coreProperties>
</file>

<file path=docProps/custom.xml><?xml version="1.0" encoding="utf-8"?>
<Properties xmlns="http://schemas.openxmlformats.org/officeDocument/2006/custom-properties" xmlns:vt="http://schemas.openxmlformats.org/officeDocument/2006/docPropsVTypes"/>
</file>