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komerczvejai pagarina nomas līguma termiņu, priekšroka dodama iepriekšējam nomniekam, kas nomas līguma darbības laikā ir pildījis visus līguma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izpilde ir pašsaprotama, nevis izņēmums vai apstāklis, kas rada priekšrocību, tādējādi lūdzam pārskatī šo tiesību normu. Saskaņā ar Publiskas personas finanšu līdzekļu un mantas izšķērdēšanas novēršanas likuma 3. pantu publiskai personai ir pienākums lietderīgi rīkoties ar finanšu līdzekļiem un mantu, tostarp publiska persona mantu nodot lietošanā citai personai par iespējami augstāku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jaunajiem zvejniekiem – fiziskām personām līdz 40 gadu vecumam, kuru mērķis ir uzsākt saimniecisko darbību zvejniecībā kā uzņēmuma dalībniekiem vai vadītājiem, nodrošinot šo zvejnieku pieprasījumu prioritāru izskatīšanu attiecībā uz to zvejas limitu daļu, kas pēc limitu sadales esošajiem nomniekiem vēl atlikusi neizmantota un ir brīvi pieejama, salīdzinājumā ar citiem saimnieciskās darbības zvejniecībā uzsākšanas pieprasījumiem.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paredz atšķirīgu attieksmi pret fiziskām personām, kas vēlas uzsākt saimniecisko darbību zvejniecībā. Tiesību akta projekta anotācijā nav norādīts pamatojums šādai attieksmei, kas balstīta uz fiziskas personas vecumu, un samērīguma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Zivju nozvejas apjoma vai zvejas rīku skaita limitu rūpnieciskās zvejas tiesību nomniekam nosaka, ņemot vērā komerciālās zvejas vai pašpatē­riņa zvejas veidu, nomnieka zvejas iespējas un šo noteikumu 71.</w:t>
            </w:r>
            <w:r w:rsidR="00000000" w:rsidRPr="00000000" w:rsidDel="00000000">
              <w:rPr>
                <w:vertAlign w:val="superscript"/>
                <w:rtl w:val="0"/>
              </w:rPr>
              <w:t xml:space="preserve">1</w:t>
            </w:r>
            <w:r w:rsidR="00000000" w:rsidRPr="00000000" w:rsidDel="00000000">
              <w:rPr>
                <w:rtl w:val="0"/>
              </w:rPr>
              <w:t xml:space="preserve"> un 71.</w:t>
            </w:r>
            <w:r w:rsidR="00000000" w:rsidRPr="00000000" w:rsidDel="00000000">
              <w:rPr>
                <w:vertAlign w:val="superscript"/>
                <w:rtl w:val="0"/>
              </w:rPr>
              <w:t xml:space="preserve">3</w:t>
            </w:r>
            <w:r w:rsidR="00000000" w:rsidRPr="00000000" w:rsidDel="00000000">
              <w:rPr>
                <w:rtl w:val="0"/>
              </w:rPr>
              <w:t xml:space="preserve"> punktā noteikto zvejas efektivitāti iepriekšējā zvejas tiesību izmantošanas termiņā, kā arī kopējo zvejas limita lielumu, zvejas tiesību nomnieku kopējo skaitu, vietējo pašvaldību zvejnieku priekšrocības un citus zivsaimnieciskus un reģionālus faktorus. Ja rūpnieciskās zvejas tiesības iznomā pašpatēriņa zvejai, ievēro arī atbilstošajos rūpnieciskās zvejas noteikumos pašpatēriņa zvejai noteiktos zvejas limita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šajos Ministru kabineta noteikumos noregulēt jautājumu par vietējo pašvaldību zvejnieku priekšrocībām, citiem zivsaimnieciskiem un reģionāliem faktoriem, nosakot zivju nozvejas apjoma vai zvejas rīku skaita limitu rūpnieciskās zvejas tiesību nomniekam, jo paredzētais neatbilst Ministru kabinetam dotajam pilnvarojumam, kas noteikts Zvejniecības likuma 7. panta piektajā daļā un 13. panta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 konsultējoties ar zvejniekus pārstāvošajām nevalstiskajām organizācijām, kas darbojas tās administratīvajā teritorijā, nosaka tās administratīvajai teritorijai piegulošajos Baltijas jūras un Rīgas līča piekrastes ūdeņos un tās administratīvajā teritorijā esošajos iekšējos ūdeņos komerciālajai zvejai piešķiramo zvejas limitu sadales kārtību, ietverot arī kritērijus zvejas efektivitātes novērtēšanai atkarībā no nomniekiem iedalīto zvejas iespēju un limitu izmantošanas līmeņa, tostarp izmantojot tādus rādītājus kā iegūtās nozvejas apjoms, zvejā pavadītās dienas, iedalītā zvejas rīku limita izmantošanas līmenis u.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Pārskatāma tiesību norma, jo nav noteiktības par normatīvo aktu, kurā pašvaldībai jānosaka zvejas limitu sadales kārtība, kā arī paredzētais neatbilst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Nozvejas apjoma limitu, kas atbilstoši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 punktam iedalīts rūpnieciskās zvejas tiesību nomniekiem (turpmāk – nomnieki) zvejai Baltijas jūras un Rīgas līča piekrastē, var savstarpēji mainīt, ja nomnieki attiecīgajā pašvaldībā ir iesnieguši abpusēju vienošanos par nozvejas apjoma limita apmaiņu vai nodošanu otram nomniekam. Piekrastes nomnieki nozvejas apjoma limitu var mainīt vai nodot tās piekrastes pašvaldības administratīvās teritorijas robežās, kura abiem nomniekiem ir iedalījusi atbilstošos nozvejas apjoma limitus, vai arī šāda apmaiņa var notikt starp nomniekiem no dažādām piekrastes pašvaldībām, kuras ir iedalījušas nozvejas apjoma limitus apmaiņā iesaistītajiem nomniekiem, ja šādai apmaiņai no abām pašvaldībām tiek saņemts saskaņojums par nozvejas apjoma limita apmaiņu. Konkrētā pašvaldība apmaiņu veikušo nomnieku rūpnieciskās zvejas tiesību nomas līgumu protokolos izdara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nomnieku savstarpējā nozvejas apjoma limita apmaiņu vai nodošana otram nomniekam neattiecas uz rūpnieciskās zvejas  tiesību izmantošanas kārtību, proti, paredzētais pārsniedz šo Ministru kabineta noteikumu izdošanas tiesiskajā pamatojumā norādīto tiesību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2. piemērot šo noteikumu 2.</w:t>
            </w:r>
            <w:r w:rsidR="00000000" w:rsidRPr="00000000" w:rsidDel="00000000">
              <w:rPr>
                <w:vertAlign w:val="superscript"/>
                <w:rtl w:val="0"/>
              </w:rPr>
              <w:t xml:space="preserve">1</w:t>
            </w:r>
            <w:r w:rsidR="00000000" w:rsidRPr="00000000" w:rsidDel="00000000">
              <w:rPr>
                <w:rtl w:val="0"/>
              </w:rPr>
              <w:t xml:space="preserve"> pielikuma II nodaļā norādīto zivju murda, zivju tīkla un reņģu, brētliņu un salaku tīkla limita maksas samazinājumu, kas nepārsniedz pusi no norādītās konkrētā zvejas rīka limita maksas, nomniekam, kas nodarbojas ar komercdarbību zvejniecībā tās administratīvās teritorijas jūras piekrastes ūdeņos, pēc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punktā minētās zvejas efektivitātes novērtējuma, kā arī ievērojot nomnieka iesniegtu pamatotu apliecinājumu (apliecinājumus) par roņu radītā zaudējuma gadījumu (gadījumiem) nomnieka nozvejai un zvejas rīkiem iepriekšējā rūpniecisko zvejas tiesību nomas gada laikā, ja to izlases veidā klātienē ir pārbaudījis un apstiprinājis pašvaldības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kārtību un prasībām pašvaldības pārstāvim veikt pārbaudes, tostarp izlases veidā, lai pamatotu zivju limita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98.4. iepriekšējā nomas gadā stihiskas nelaimes gadījumā gājuši bojā nomnieka zvejas rīki vai peldošie līdzekļi un par šo faktu pašvaldībai ir iesniegts pamatots apliecinājums, vai arī šāds fakts ir atbilstoši norādīts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 tikai iznomā rūpnieciskās zvejas tiesības. Pašvaldība pēc būtības nerisina jautājumus, kas skar nomnieka zvejas rīkus un peldošos līdzekļus, tostarp par tiem negādā. Vienlaikus norādām, ka pie vieniem un tiem pašiem apstākļiem pašvaldībām ir jārīkojas vienveidīgi un paredzami, tādējādi nav noteiktības par to, kāpēc minētā norma paredz pašvaldībai tiesības, kuras pašvaldība var arī neīstenot. Ievērojot minēto, lūdzam svītrot vai pārskatīt šo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24.11.2025.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