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nodrošina horizontālo principu "Nenodarīt būtisku kaitējumu", "Klimatdrošināšana", un "Vienlīdzība, iekļaušana, nediskriminācija un pamattiesību ievērošana" ievērošanu, datu uzkrāšanu un ievadi Kohēzijas politikas fondu vienotās informācijas sistēmā projekta īstenošanas un pēcuzraudzības laikā, tai skaitā piecus gadus pēc noslēguma maksājuma veikšanas katru gadu līdz 31. janvārim sadarbības iestādei tiek iesniegts pārskats par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nacionālo rādītāja sasniegto putekļu daļiņu emisiju ietaupījumu iepriekšējā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pienākuma finansējuma saņēmējam uzkrāt datus par horizontālā principa "Vienlīdzība, iekļaušana, nediskriminācija un pamattiesību ievērošana" (turpmāk - HP) rādītājiem nepieciešamību. Paskaidrojam, ka saskaņā ar HP vadlīnijās [1] noteikto, pasākumiem, kuriem nav ietekmes uz HP, rādītāji nav jānosaka, kā arī nav jāparedz specifiskas HP darbības. Līdz ar to finansējuma saņēmējam var rasties grūtības definēt HP rādītājus, ja projektos netiks paredzētas specifiskas HP darbības, kurām ir iespējams piemērot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18.09.2023.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18.09.2023.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