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Revīzijas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“Grozījumi Revīzijas pakalpojumu likumā” paredz jaunus informācijas sniegšanas pienākumus trešo valstu revidentiem un trešo valstu revidentu komercsabiedrībām, aicinām anotācijā ietvert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sniegtais skaidrojums par to, ka precīzs kopējais izmaksu apmērs nav nosakāms, jo nav zināms, cik šādu dokumentu sagatavošana varētu izmaksāt katrā konkrētajā trešajā valstī, pats par sevi nav pietiekams pamatojums atteikumam veikt administratīvo izmaksu aprēķinu. Atbilstoši Ministru kabineta 2021. gada 7. septembra noteikumu Nr. 617 “Tiesību akta projekta sākotnējās ietekmes izvērtēšanas kārtība” prasībām un Valsts kancelejas izstrādātajām Vadlīnijām tiesību akta projekta sākotnējās ietekmes novērtēšanai un novērtējuma ziņojuma sagatavošanai vienotajā tiesību aktu izstrādes un saskaņošana portālā, tikai izņēmuma gadījumos, kad objektīvu iemeslu dēļ nav iespējams noteikt kopējo subjektu skaitu, ir pieļaujams, ka aprēķina parametrā “n” konkrēts subjektu skaits netiek norādīts. Tā vietā administratīvās vai atbilstības izmaksas ir jāaprēķina vienam tiesību akta subjektam (n = 1), vienlaikus sniedzot attiecīgu metodoloģisko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2. sadaļas 2.3. un 2.4. apakšpunktu un veikt administratīvo izmaksu novērtējumu vismaz vienam tiesību akta subjektam, kā arī pamatot pieņēmumus, kas izmantoti izmaksu aprēķinā (tostarp par paredzamo laika patēriņu un stundas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detalizēti skaidrot iemeslus, kuru dēļ nav iespējams noteikt regulējuma kopējo ietekmi, kā arī norādīt konkrēto likumprojekta punktu, kas paredz attiecīgo informācijas sniegšanas pienākumu un no kura izriet aprēķinātās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10.08.2026.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10.08.2026.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Atzinumi_26-TA-1359.docx</dc:title>
</cp:coreProperties>
</file>

<file path=docProps/custom.xml><?xml version="1.0" encoding="utf-8"?>
<Properties xmlns="http://schemas.openxmlformats.org/officeDocument/2006/custom-properties" xmlns:vt="http://schemas.openxmlformats.org/officeDocument/2006/docPropsVTypes"/>
</file>