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un to vadītāju valsts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administratīvo sodu, kas piemērots Administratīvās atbildības likuma 162.pantā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Ceļu satiksmes likuma 43.</w:t>
            </w:r>
            <w:r w:rsidR="00000000" w:rsidRPr="00000000" w:rsidDel="00000000">
              <w:rPr>
                <w:vertAlign w:val="superscript"/>
                <w:rtl w:val="0"/>
              </w:rPr>
              <w:t xml:space="preserve">7</w:t>
            </w:r>
            <w:r w:rsidR="00000000" w:rsidRPr="00000000" w:rsidDel="00000000">
              <w:rPr>
                <w:rtl w:val="0"/>
              </w:rPr>
              <w:t xml:space="preserve"> panta (Pārkāpumu fiksēšana ar tehniskiem līdzekļiem, neapturot transportlīdzekli) otrajā daļā noteikts, ka Policija, lai piemērotu administratīvos sodus par pārkāpumiem, kas fiksēti ar tehniskiem līdzekļiem, neapturot transportlīdzekli, transportlīdzekļu un to vadītāju valsts reģistrā apstrādā informāciju, kas par attiecīgo pārkāpumu saņemta no tehniskiem līdzekļiem, attiecīgi tad transportlīdzekļu un to vadītāju valsts reģistrā būtu jāparādās arī informācijai par pārkāpumiem, kas fiksēti ar tehniskiem līdzekļiem, neapturot transportlīdzekli, ne tikai par piemērotajiem sodiem, kā tas šobrīd noteikts noteikumu 7.3. apakšpunktā. Lūdzu skatīt LTAB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7.punktu ar jaunu 7.3.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pārkāpumu, kas fiksēts ar tehniskiem līdzekļiem, neapturot transportlīdzekli."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attiecīgi mainīt nākamo apakšpunktu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21.11.2024.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21.11.2024.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Atzinumi_24-TA-1210.docx</dc:title>
</cp:coreProperties>
</file>

<file path=docProps/custom.xml><?xml version="1.0" encoding="utf-8"?>
<Properties xmlns="http://schemas.openxmlformats.org/officeDocument/2006/custom-properties" xmlns:vt="http://schemas.openxmlformats.org/officeDocument/2006/docPropsVTypes"/>
</file>