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2.3. un 2.4. apakšpunktā sniegto administratīvo izmaksu un administratīvā sloga novērtējumu, kā arī precizēt izziņā sniegto informāciju par Valsts kancelejas priekšlikuma ņemšanu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priekšlikumā tika lūgts precizēt aprēķinu skaidrojumus, pamatojot aprēķinos izmantoto laika patēriņu un citus pieņēmumus, norādot izmantotos informācijas avotus, kā arī novēršot neatbilstības starp monetārā novērtējuma tabulās un aprēķinu skaidrojumos izmantotajām vērtībām. Izziņā norādīts, ka priekšlikums ir ņemts vērā, precizējot anotācijas 2.3. un 2.4. apakšpunktā sniegto aprēķinu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pilnveidojot anotāciju, ir mainīti ne tikai aprēķinu skaidrojumi, bet arī pats projekta ietekmes novērtējums. Vairākām prasībām, kurām iepriekšējā anotācijas redakcijā tika norādīts administratīvo izmaksu vai administratīvā sloga samazinājums, precizētajā redakcijā norādīts, ka projekts attiecīgo prasību neietekmē un projekta radītā izmaiņa ir 0 euro vai 0 stundas. Izziņā šīs izmaiņas un to pamatojums nav atspoguļots, līdz ar to nav iespējams pilnībā izsekot, kā Valsts kancelejas priekšlikuma izvērtēšanas rezultātā ir mainījies iepriekš veiktais projekta ietekmes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norādīt veiktās izmaiņas un to pamatojumu, tostarp skaidrojot, kādēļ iepriekš identificētais administratīvo izmaksu vai administratīvā sloga samazinājums precizētajā novērtējumā vairs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anotācijas 2.3. un 2.4. apakšpunkta monetārā novērtējuma tabulām ir izņemtas aprēķinos izmantotās skaitliskās vērtības, tās ietverot aprēķinu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ūdzam attiecīgajās tabulas ailēs norādīt aprēķinos izmantotos parametrus, tostarp laika patēriņu, subjektu skaitu, informācijas sniegšanas biežumu un aprēķina rezultātu, savukārt aprēķinu skaidrojumā sniegt šo vērtību pamatojumu un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aprēķinu skaidrojumos konsekventi norādīt izmantotā laika patēriņa noteikšanas pamatojumu un informācijas avotu, jo, lai gan precizētajā anotācijā veicamās darbības un to izpildei nepieciešamais laiks ir raksturots detalizētāk, ne visos gadījumos ir izsekojams, uz kāda informācijas avota pamata attiecīgā laika vērtība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pilnveidot anotācijas 7.4. apakšpunktā sniegto projekta ietekmes uz Civilās aviācijas aģentūru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Civilās aviācijas aģentūra reģistra izveidošanu, uzturēšanu un pilnveidošanu nodrošina jau atbilstoši likumā “Par aviāciju” noteiktajam uzdevumam un projekta īstenošana neprasa jaunu iekšējo procesu digitalizāciju vai papildu izmaiņas esošajā reģistrā. Vienlaikus izziņā norādīts izņēmums – projekta īstenošanai nepieciešams izstrādāt tehnisko risinājumu, lai reģistrs tiešsaistes datu pārraides režīmā nodrošinātu projektā paredzēto datu apmaiņu ar citām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precizētajā anotācijā skaidrots, ka projekta īstenošana paredz tiešsaistes datu apmaiņu ar citām informācijas sistēmām, valsts informācijas sistēmu savietotāja izmantošanu, kā arī Civilās aviācijas aģentūras un citu informācijas sistēmu pārziņu vienošanos par datu apmaiņas tehnisko risinājumu, autentifikācijas kārtību, informācijas drošības prasībām, datu apmaiņas pieejamības līmeni, kļūdu apstrādi, incidentu pārvaldību, audita pierakstu veidošanu un pušu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pat ja projekta rezultātā netiek mainīta Civilās aviācijas aģentūras funkcija uzturēt un pilnveidot reģistru, projekts paredz izmaiņas šīs funkcijas izpildes procesos un tehnoloģiskajā nodrošinājumā. Lūdzam attiecīgi papildināt anotācijas 7.4. apakšpunktu, raksturojot minēto projekta ietekmi uz Civilās aviācijas aģentūras veicamajiem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20.08.2026.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20.08.2026.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