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veikto atbilstības izmaksu aprēķinu, piemērojot korektu vienas stundas darbaspēka izmaksu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izmantota vidējā bruto darba samaksa stundā 2025. gada 4. ceturksnī nozarē “Telekomunikācija” – 19,17 euro. Tomēr darbinieka darba devējam radītās izmaksas neatspoguļo tikai bruto darba samaksa. Atbilstības izmaksu aprēķinā izmantojamas kopējās vienas stundas darbaspēka izmaksas, kas papildus darba samaksai ietver arī citus darba devēja izdevumus, tostarp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Lūdzam aprēķinā izmantot Centrālās statistikas pārvaldes oficiālās statistikas datubāzes tabulā DIS010 “Vienas stundas darbaspēka izmaksas pa darbības veidiem (eiro)” publicēto rādītāju par darbaspēka izmaksām pavisam uz vienu faktiski nostrādāto stundu darbības veidā “J61 Telekomunikācija”. https://data.stat.gov.lv/pxweb/lv/OSP_PUB/START__EMP__DI__DIS/DIS010/table/tableViewLayout1/ </w:t>
            </w:r>
            <w:r w:rsidR="00000000" w:rsidRPr="00000000" w:rsidDel="00000000">
              <w:rPr>
                <w:rtl w:val="0"/>
              </w:rPr>
              <w:t xml:space="preserve">Tā kā minētajā tabulā dati ir publicēti gada, nevis ceturkšņa griezumā, izmantojams aprēķina veikšanas brīdī jaunākais pieejamais gada rādītājs, aprēķina skaidrojumā norādot izraudzīto rādītāju, darbības veidu, datu periodu, vērtību un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atkārtoti izsaka priekšlikumu papildināt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sniegtais skaidrojums, ka projekts nenosaka jaunus pienākumus Ministru kabinetam, neatbild uz priekšlikumā norādīto jautājumu par projekta izpildē iesaistītajām institūcijām un projekta ietekmi uz to darbību. Apstāklis, ka Ministru kabinetam jau ir tiesības lemt par izņēmumiem ārkārtējās situācijas vai izņēmuma stāvokļa laikā, pats par sevi nenozīmē, ka projekts neietekmē tā praktiskajā īstenošanā iesaistīto institūciju uzdevumus, procesus vai sadarbības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Krīzes vadības centra iesaisti lēmuma par nacionālās viesabonēšanas ieviešanu sagatavošanā, kā arī no tā izriet nepieciešamība nodrošināt informācijas apriti, institūciju savstarpējo koordināciju un sadarbību ar elektronisko sakaru komersantiem. Izziņā nav skaidrots, kuras institūcijas veiks šīs darbības, kāda būs katras institūcijas loma un vai projekta īstenošana mainīs to uzdevumus vai iekšējos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7.1. apakšsadaļā identificēt visas projekta izpildē iesaistītās institūcijas, tostarp Krīzes vadības centru, bet 7.4. apakšsadaļā attiecībā uz katru no tām raksturot lomu projekta izpildē un ietekmi uz tās funkcijām, uzdevumiem, iekšējiem procesiem un sadarbības mehānismiem. Ja attiecīgās darbības tiks nodrošinātas institūciju esošo funkciju, procesu un piešķirto resursu ietvaros, tas anotācijā attiecīgi norādāms un pamatojams.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25-TA-2522</w:t>
    </w:r>
    <w:r>
      <w:br/>
    </w:r>
    <w:r w:rsidR="00000000" w:rsidRPr="00000000" w:rsidDel="00000000">
      <w:rPr>
        <w:rtl w:val="0"/>
      </w:rPr>
      <w:t xml:space="preserve">Izdrukāts 09.09.2026.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25-TA-2522</w:t>
    </w:r>
    <w:r>
      <w:br/>
    </w:r>
    <w:r w:rsidR="00000000" w:rsidRPr="00000000" w:rsidDel="00000000">
      <w:rPr>
        <w:rtl w:val="0"/>
      </w:rPr>
      <w:t xml:space="preserve">Izdrukāts 09.09.2026.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Atzinumi_25-TA-2522.docx</dc:title>
</cp:coreProperties>
</file>

<file path=docProps/custom.xml><?xml version="1.0" encoding="utf-8"?>
<Properties xmlns="http://schemas.openxmlformats.org/officeDocument/2006/custom-properties" xmlns:vt="http://schemas.openxmlformats.org/officeDocument/2006/docPropsVTypes"/>
</file>