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izziņā ir norādīts, ka Valsts kancelejas iebildums ir ņemts vērā, savukārt anotācijā nav norādīts administratīvo izmaksu un atbilstības prasību izmaksu novērtējums, uzturam iepriekš izteikto iebildumu par nepieciešamību veikt tiesību aktā iekļauto informācijas sniegšanas pienākumu un atbilstības izmaksu esamības vērtējumu un atbilstoši vērtējumam veikt administratīvo izmaksu un/vai atbilstības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anotācijas 2.1. apakšpunktā ietverto informāciju, ka ar veiktajām izmaiņām fiziskām un juridiskām personām turpmāk nebūs nepieciešams saņemt VVD tehniskos noteikumus, ir secināms, ka turpmāk nav jāsniedz pieteikums tehnisko noteikumu saņemšanai. Papildus minētajam ir norādīts, ka būs jāievēro normatīvajos aktos izvirzītās prasības pirms tīrīšanas darbu uzsākšanas un to veikšanas laikā, ar ko ir secināms, ka izmainās atbilstību prasību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tiesību akts paredz samazināt informācijas sniegšanas pienākumus vai atbilstības prasības, ir jāaprēķina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22., 27., 46. un 47. punkts satur informācijas sniegšanas pienākumus valsts vai pašvaldību iestādēm, lūdzu veikt iekļauto informācijas sniegšanas pienākumu vērtējumu un atbilstoši vērtējumam veikt administratīvo izmaksu un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aprakstu 7.4. apakšpunktā ar konkrētām izmaiņām, kas rada birokrātiskā sloga samazinājumu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08.12.2025.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08.12.2025.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