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Lemjot par finansējuma avotu nepieciešams ņemt vērā aktuālo situāciju Ukrainā, prioritārās Ukrainas vajadzības, un attiecīgi izvērtēt piemērotāko finansējuma avotu šim mehānismam. Pašreizējos apstākļos prioritāte ir militārais atbalsts Ukrainai, kā arī atbalsts, kas veicina pašaizsardzības 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Renkmane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Lemjot par finansējuma avotu nepieciešams ņemt vērā aktuālo situāciju Ukrainā, prioritārās Ukrainas vajadzības, un attiecīgi izvērtēt piemērotāko finansējuma avotu šim mehānismam. Pašreizējos apstākļos prioritāte ir militārais atbalsts Ukrainai, kā arī atbalsts, kas veicina pašaizsardzības 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Renkmane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4 000 000 euro apmērā valsts budžeta ārpus fiskālās telpas finansējums vienreizējiem pasākumiem Ukrainas atbalstam un rekonstrukcijai, paredzot sniegt šo noteikumu </w:t>
            </w:r>
            <w:r w:rsidR="00000000" w:rsidRPr="00000000" w:rsidDel="00000000">
              <w:rPr>
                <w:rtl w:val="0"/>
              </w:rPr>
              <w:t xml:space="preserve">​II</w:t>
            </w:r>
            <w:r w:rsidR="00000000" w:rsidRPr="00000000" w:rsidDel="00000000">
              <w:rPr>
                <w:rtl w:val="0"/>
              </w:rPr>
              <w:t xml:space="preserve"> un </w:t>
            </w:r>
            <w:r w:rsidR="00000000" w:rsidRPr="00000000" w:rsidDel="00000000">
              <w:rPr>
                <w:rtl w:val="0"/>
              </w:rPr>
              <w:t xml:space="preserve">III</w:t>
            </w:r>
            <w:r w:rsidR="00000000" w:rsidRPr="00000000" w:rsidDel="00000000">
              <w:rPr>
                <w:rtl w:val="0"/>
              </w:rPr>
              <w:t xml:space="preserve"> nodaļā minētos aizdevumus Latvijā reģistrētiem komersantiem ieguldījumu veikšanai Ukrainas infrastruktūrā, tādējādi sniedzot atbalstu Ukrainas rekonstrukcijas attīstībai un ekonomiskās darbības atjaunošanai.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Lemjot par finansējuma avotu nepieciešams ņemt vērā aktuālo situāciju Ukrainā, prioritārās Ukrainas vajadzības, un attiecīgi izvērtēt piemērotāko finansējuma avotu šim mehānismam. Pašreizējos apstākļos prioritāte ir militārais atbalsts Ukrainai, kā arī atbalsts, kas veicina pašaizsardzības 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Renkmane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06.10.2025.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06.10.2025.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Atzinumi_25-TA-207.docx</dc:title>
</cp:coreProperties>
</file>

<file path=docProps/custom.xml><?xml version="1.0" encoding="utf-8"?>
<Properties xmlns="http://schemas.openxmlformats.org/officeDocument/2006/custom-properties" xmlns:vt="http://schemas.openxmlformats.org/officeDocument/2006/docPropsVTypes"/>
</file>