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22-TA-3234: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Latviešu vēsturisko zemju un kultūrtelpu attīstības plāns 2022.-2027.gadam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4.3.1.3. uzdevuma "Latviešu vēsturisko zemju un kultūrtelpu robežu norāžu izvietošana pie galvenajām satiksmes maģistrālēm uz valsts galvenajiem un reģionālajiem ceļiem" (40., 69. un 92. lpp.) pasākuma nosaukumu atbilstoši likuma "Par autoceļiem" ietvertajai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4.3.1.3. Latviešu vēsturisko zemju un kultūrtelpu robežu norāžu izvietošana uz valsts galvenajiem un reģionālajiem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4.3.1.3. uzdevuma ailē "Norādes uz galvenajām maģistrālēm 10 vietās, norādes uz reģionālajiem ceļiem 6 vietās (16x1000 = 16000)" (92.lpp.) tekstu kolonnā "Aprēķins" atbilstoši likuma "Par autoceļiem" ietvertajai terminoloģijai.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Norādes uz valsts galvenajiem autoceļiem 10 vietās, norādes uz valsts reģionālajiem autoceļiem 6 vietās (16x1000 = 16000).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Jaunsproģe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01.12.2022.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01.12.2022.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Atzinumi_22-TA-3234.docx</dc:title>
</cp:coreProperties>
</file>

<file path=docProps/custom.xml><?xml version="1.0" encoding="utf-8"?>
<Properties xmlns="http://schemas.openxmlformats.org/officeDocument/2006/custom-properties" xmlns:vt="http://schemas.openxmlformats.org/officeDocument/2006/docPropsVTypes"/>
</file>