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2.1.2. specifiskā atbalsta mērķa "Atjaunojamo energoresursu enerģijas veicināšana - biometāns"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pasākumiem kodolenerģijas ražošanai;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šāda punkta lietderību, jo ņemot vērā atbalstāmās darbības, kodolenerģijas neatbalstīšana ir pašsaprotama.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Kapitāla atlaide, ko piešķir sabiedrības "Altum" aizdevuma vai cita finansētāja pamatsummas daļējam samazinājumam, nepārsniedz vienam vienotam uzņēmumam šajos noteikumos minēto pieļaujamo atbalsta intensitāti vai pieejamo </w:t>
            </w:r>
            <w:r w:rsidR="00000000" w:rsidRPr="00000000" w:rsidDel="00000000">
              <w:rPr>
                <w:i w:val="1"/>
                <w:rtl w:val="0"/>
              </w:rPr>
              <w:t xml:space="preserve">de minimis</w:t>
            </w:r>
            <w:r w:rsidR="00000000" w:rsidRPr="00000000" w:rsidDel="00000000">
              <w:rPr>
                <w:rtl w:val="0"/>
              </w:rPr>
              <w:t xml:space="preserve"> limita apmēru un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šī noteikumu projekta 53. punkta apakšpunktos aizstāt vārdus "MK noteikumu Nr. 510 atrunātā kopējā finansējuma apjoma" ar vārdiem "MK noteikumu Nr. 510 2.1.2. pasākumam noteiktā kopējā finansējuma apjoma".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sadaļā pie vispārīgās informācijas precizēt, ka MK noteikumi Nr.510 grozījumi ir stājušies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Raivis Supe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2. sadaļu "Ekonomiskā ietekme", sniedzot informāciju par noteikumu projekta ietekmi uz tautsaimniecību un administratīvo slogu, lai visiem tiesību akta lietotājiem būtu pieejama skaidra un nepārprotama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Raivis Supe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anotācijas 5.sadaļu, ņemot vērā, ka iekļautie punkti neatbilst noteikumu projekta punktu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Raivis Supe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Akciju sabiedrībai "Attīstības finanšu institūcija Altum" mēneša laikā izstrādāt un Klimata un enerģētikas ministrijai iesniegt izskatīšanai Ministru kabinetā precizēto 2.1.2. specifiskā atbalsta mērķa “Atjaunojamo energoresursu enerģijas veicināšana – biometāns” rādītāju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3 punktu nosakot, ka Klimata un enerģētikas ministrijai sadarbībā ar akciju sabiedrību "Attīstības finanšu institūcija Altum" sagatavot un klimata un enerģijas ministrs iesniegt mēneša laikā izskatīšanai Ministru kabinetā programmas rādītāju un sagaidāmo zaudējumu novērtējumu saskaņā ar Attīstības finanšu institūcijas likuma 12. panta trešās daļas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Raivis Supe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24-TA-340</w:t>
    </w:r>
    <w:r>
      <w:br/>
    </w:r>
    <w:r w:rsidR="00000000" w:rsidRPr="00000000" w:rsidDel="00000000">
      <w:rPr>
        <w:rtl w:val="0"/>
      </w:rPr>
      <w:t xml:space="preserve">Izdrukāts 22.11.2024. 09.59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24-TA-340</w:t>
    </w:r>
    <w:r>
      <w:br/>
    </w:r>
    <w:r w:rsidR="00000000" w:rsidRPr="00000000" w:rsidDel="00000000">
      <w:rPr>
        <w:rtl w:val="0"/>
      </w:rPr>
      <w:t xml:space="preserve">Izdrukāts 22.11.2024. 09.59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Atzinumi_24-TA-340.docx</dc:title>
</cp:coreProperties>
</file>

<file path=docProps/custom.xml><?xml version="1.0" encoding="utf-8"?>
<Properties xmlns="http://schemas.openxmlformats.org/officeDocument/2006/custom-properties" xmlns:vt="http://schemas.openxmlformats.org/officeDocument/2006/docPropsVTypes"/>
</file>