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2.2. reformu un investīciju virziena “Uzņēmumu digitālā transformācija un inovācijas” 2.2.1.5.i. investīcijas “Mediju nozares uzņēmumu digitālās transformācijas veicināšana” pasākuma “Mediju nozares uzņēmumu procesu modernizēšana”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Atveseļošanas fonda izdevumu attiecināmības termiņš ir no līguma par projekta īstenošanu noslēgšanas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2.2.1.5.i. investīcijas procesu modernizācijas pasākumu īsteno un tā ietvaros sasniedzamos mērķrādītājus -  izveidotas vismaz trīs digitālās platformas vai digitālie risinājumi - jāsasniedz līdz 2025. gada 30. jūnijam, lūdzam precizēt noteikumu projekta 12.punktā noteikto pasākuma ietvaros izdevumu attiecināmības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Atbalstāmo darbību un izmaksu attiecināmība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normu, kas noteiktu, ka uz līgumu noslēgšanas brīdi netiks atbalstītas pabeigtas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sākotnējā Digitālā brieduma testa, Digitālās attīstības ceļa kartes un otrreizējā digitālā brieduma testa sagatavošanas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noteikumu projekta 12. punktu izmaksas ir attiecināmas tikai no līguma par projekta īstenošanu noslēgšanas brīža, taču vienlaikus paredzēts, ka digitālā brieduma testam jābūt veiktam un digitālās attīstības ceļa kartei jābūt izstrādātai jau pirms projekta iesnieguma iesniegšanas, jo saskaņā ar noteikumu projekta 25. punktu tie jāpievieno projekta iesnieguma pielikumā.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iekļaut anotācijā atbilstošu skaidrojumu gadījumā, ja projekta ietvaros ir paredzēts atkārtoti veikt sākotnējo digitālā brieduma testu un izstrādāt jaunu digitālās attīstības ceļa karti, kuru izmaksas būs attiecināmas projekta ietvaros saskaņā ar noteikumu 15.3. apakšpunktu,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brīdi, no kura attiecināmas izmaksas, ja paredzēts, ka projekta ietvaros saskaņā ar noteikumu projekta 15.3. apakšpunktu būs attiecināmas arī izmaksas, kas radušās par pirms projekta iesnieguma iesniegšanas veikto sākotnējo digitālā brieduma testu un izstrādāto digitālās attīstības ceļa karti.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ir īpašnieks masu informācijas līdzeklim vai līdzekļiem vai apvieno masu informācijas līdzekļu īpašniekus;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skaidrojumu, kas interpretējams par masu informācijas līdzekļu īpašnieku apvienošanu projekta iesniedzējam izvirzīto prasību kontekstā. Proti, vai persona, kura apvieno masu informācijas līdzekļu īpašniekus, ir tikai tāda persona, kuras biedri vai kapitāldaļu īpašnieki ir masu informācijas līdzekļu īpašnieki, vai īpašnieku apvienošanai ir pieļaujama vēl citādā formā.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finansējuma saņēmējs avansa maksājumu var saņemt, iesniedzot pieprasījumu avansa maksājumam, tas nepārsniedz 30 procentus no projekta attiecināmajām izmaksām un ir jāapgūst sešu mēnešu laikā saimnieciskā gada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AF ietvaros attiecināmība ir nevis pret piešķirtā finansējuma ieguldīšanu, bet pret mērķu sasniegšanu, tad lūdzam precizēt noteikumu projekta 39.1.apakšpunktu, svītrojot vārdus "ir jāapgūst sešu mēnešu laikā saimnieciskā gada ietvaros". Attiecīgi lūdzam izvērtēt un minētās normas vietā noteikt, ka avanss ir uzskatāms par attiecinātu, ja, piemēram, finansējuma saņēmējs ir sasniedzis 30% no projektā noteiktajiem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naudas plūsmu, investīcijas ieviešanas nosacījumos var norādīt konkrētu termiņu, kādā jāsasniedz attiecīgais atskaites punkts, izmantojot saņemto avansu, un kārtība, kādā tas atmaksājams, ja attiecīgais atskaites punkts konkrētajā termiņā netiek sasniegts.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ar nosacījumiem, kuri ir jāievēro, lai tiktu izmaksāts avanss, piemēram: finansējuma saņēmējs ir atvēris kontu Valsts kasē vai darījumu kontu Latvijas Republikā reģistrētā kredītiestādē vai Eiropas Savienībā reģistrētā kredītiestādē, kas ir izsniegusi bankas garantiju par labu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Iesniegt kritēriju piemērošanas metodiku, lai būtu iespējams sniegt visaptverošu viedokli par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Dzēst vispārīgo atbilstības kritēriju Nr. 2.6., jo gadījumā, ja projekta iesniegums netiks iesniegts Vadības informācijas sistēmā, tas netiks vērtēts, proti, netiks pārbaudīta tā atbilstība kritērijiem, savukārt pielikumi būtu vērtējami to kritēriju ietvaros, kuru vērtēšanai attiecīgais pielikums ir nepieciešams, nevis tikai pielikumu pievienošanas fakts (konkrētajā gadījumā - specifisko atbilstības kritēriju Nr. 3.2. un 3.3.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Dzēst vispārīgo atbilstības kritēriju Nr. 2.8., lai izvairītos no formālisma;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4.Pārskatīt kvalitātes kritērijus, jo tie balstās uz ļoti subjektīviem aspektiem – piemēram, "pietiekami aprakstīts", "atsevišķi jautājumi nav aprakstīti pietiekoši detalizēti" nav objektīvi izvērtējami punktu skalā, turklāt liecina par projekta iesnieguma literāro kvalitāti, nevis projekta spēju efektīvāk sasniegt investīcijas mērķi un rezultātu, kas ir kvalitātes kritēriju būtība.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1.3.sadaļas apakšsadaļu "Risinājuma apraksts" ar papildus skaidrojumu par 2.2.1.5.i. investīcijas mācību pasākuma un procesu modernizācijas pasākuma (abu kopā) ietekmi uz mērķrādītājiem "Izveidoto platformu un digitālo risinājumu skaits" un "Atbalstīto projektu skaits", paskaidrojot ar kādu pasākuma tiks sasniegti šie rādītāji un kādā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investīcijas sasaisti, sinerģiju un demarkāciju ar citu atbalsta instrumentu investīcijām un dubultfinansējuma riska mazināšanu. Īpaši lūdzam pamatot kā tiks nodrošināta demarkācija ar citu Atveseļošanas fonda investīciju un ES fondu atbalsta pasākumiem. Tāpat lūdzam sniegt skaidrojumu par demarkāciju ar Nacionālās elektronisko plašsaziņas līdzekļu padomes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4.2.apakšpunktā noteikto, lūdzam anotācijā ietvert papildus skaidrojumu, ka aģentūrai būs pienākums uzskaitīt kopējo rādītāju "uzņēmumi, kas saņem atbalstu digitālo produktu, pakalpojumu un lietojumprogrammu izstrādei vai ieviešanai" un "atbalstītie uzņēmumi (tai skaitā – mazi uzņēmumi, tostarp mikrouzņēmumi, vidēji uzņēmumi un lieli uzņēmumi)" datus par atbalstītiem uzņēmumiem pēc to lieluma: a) mazie, tai skaitā mikro, uzņēmumi; b) vidējie uzņēmumi un c) lielie uzņēmumi.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investīcijas pasākuma ietvaros tiek paredzēta publisko līdzekļu piešķiršana, tai skaitā, investīciju veidā, lūdzam sniegt plašāku skaidrojumu anotācijā, kādēļ atbalsta programmas ietvaros plānotais atbalsts nekvalificējas kā komercdarbības atbalsts. Tostarp, aicinām anotāciju papildināt saskaņā ar Kultūras ministrijas 01.09.2023 vēstulē Nr.5.1-1/1148 "Par Kultūras ministrijas plānoto atbalstu mediju nozarē" norādīto "Tā kā latviešu valoda tiek lietota šaurā ģeogrāfiskā tvērumā un salīdzinoši mazskaitlīgā personu lokā, secināms, ka Latvijas mediju uzņēmumu pakalpojumi tiek sniegti vietējā vai reģionālā tirgū, kā arī tirgus segmentā, kurā nav konstatējama būtiska citu dalībvalstu komersantu dalība. Tādējādi Kultūras ministrijas plānotie atbalsta pasākumi Latvijas mediju uzņēmumiem nevarētu ietekmēt patērētāju piesaisti ārpus Latvijas teritorijas, un ārpus personu loka, kuras lieto latviešu valodu. Līdz ar to uzskatāms, ka Kultūras ministrijas plānotie atbalsta pasākumi neradīs ietekmi uz Eiropas Savienības iekšējo tirgu, proti, nekropļos konkurenci tirdzniecībai starp dalībvalstīm. Ņemot vērā minēto, Kultūras ministrija secina, ka aprakstītie atbalsta pasākumi Latvijas mediju uzņēmumiem nav uzskatāmi par valsts atbalstu LESD 107. panta pirmās 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papildus skaidrojumu par pasākuma pienesumu tautsaimniecībai, piemēram, izmērāmu ietekmi uz makroekonomisko vidi, pienesums ekonomikas transformācijai, nozaru konkurētspējai, uzņēmējdarbības videi, nodarbinātībai, kā arī ietekmi uz nozaru politikas mērķiem, Latvijas Nacionālajā attīstības plāna 2021.–2027.gadam noteiktajiem mērķiem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pasākuma mērķa grupa un Finansējuma saņēmēji ir mediju nozares asociācijas un uzņēmumi, kurus atlasa atklāta projektu iesniegumu konkursa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 punktu, tajā nosakot tikai mērķa grupu, ņemot vērā, ka projekta iesniedzējs, kas pēc aģentūras lēmuma par projekta iesnieguma apstiprināšanu ir finansējuma saņēmējs, ir noteikts noteikumu projekta 20. punktā kopsakarā ar 37. punktu, bet pasākuma atlases veids ir noteikts noteikumu projekta 26.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pasākuma noteiktais mērķrādītājs uzskatāms par izpildītu, kad Centrālajā finanšu un līgumu aģentūrā (turpmāk – aģentūra) pēc veiksmīgas testēšanas ir iesniegts nodošanas – pieņemšanas akts, kas apliecina darbu pabeigšanu un produkcijas ieviešanu trīs digitālajām platformām vai digitālajiem risinājumiem. Produkts ir lietotājam pieejams.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Nepārprotamai redakcijai aicinām noteikumu projekta 5.punktu izteikt šādi "Investīcijas pasākuma noteiktais mērķrādītājs uzskatāms par izpildītu, kad Centrālajā finanšu un līgumu aģentūrā (turpmāk – aģentūra) pēc veiksmīgas testēšanas ir iesniegts nodošanas – pieņemšanas akts, kas apliecina darbu pabeigšanu un trīs digitālo platformu vai digitālo risinājumu ieviešanu produktīvajā darbībā, un tie ir pieejami lietotājam".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Investīcijas pasākuma noteiktais mērķrādītājs uzskatāms par izpildītu, kad Centrālajā finanšu un līgumu aģentūrā (turpmāk – aģentūra) pēc veiksmīgas testēšanas ir iesniegts nodošanas – pieņemšanas akts, kas apliecina darbu pabeigšanu un trīs digitālo platformu vai digitālo risinājumu ieviešanu produktīvajā darbībā, un tie ir pieejami lietotājam.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Projektā iekļauj atbalstāmās darbības, kas sekmē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noteiktā investīcijas pasākuma mērķa un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noteikto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15.3.apakšpunktā iekļautajām investīciju pasākuma attiecināmajām izmaksām, aicinām noteikumu projekta 14.punktu papildināt ar attiecīgu atbalstāmo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Projektā iekļauj atbalstāmās darbības, kas sekmē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noteiktā investīcijas pasākuma mērķa un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noteikto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15.punktā iekļautajām investīciju pasākuma attiecināmajām izmaksām, aicinām noteikumu projekta 14.punktu papildināt ar šādiem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 projekta vadība un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 publicitātes pasākumu nodrošināšana.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mediju uzņēmumu digitalizācijai nepieciešamo programmatūras un plānošanas risinājumu iegāde vai izstrāde;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14.2.apakšpunktā kā atbalstāmā darbība norādīta plānošanas risinājumu iegāde vai izstrāde. Lai izvairītos no interpretācijas iespējām īstenošanas uzraudzībā, aicinām anotāciju papildināt ar plānošanas risinājumu piemēriem.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ar projekta darbībām tieši saistīto publicitātes un vizuālās identitātes pasākumu izmaksas, kas veiktas atbilstoši Eiropas Parlamenta un Padomes 2021. gada 12. februāra Regulas Nr. 2021/241, ar ko izveido Atveseļošanas un noturības mehānismu (turpmāk – regula Nr. 2021/241) 34. panta 2. punkta prasībām, nepārsniedzot vienu procentu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15.2. apakšpunktā minētā regula neparedz publicitātes un vizuālās identitātes prasību nodrošināšanas izmaksas, bet šo prasību saturu, turklāt noteikumu projekta 43.7. apakšpunktā ir ietverts finansējuma saņēmēja pienākums nodrošināt šo prasību ievērošanu atbilstoši minētajai regulai. Ievērojot minēto, rosinām svītrot noteikumu projekta 15.2. apakšpunktā vārdus un skaitļus “kas veiktas atbilstoši Eiropas Parlamenta un Padomes 2021. gada 12. februāra Regulas Nr. 2021/241, ar ko izveido Atveseļošanas un noturības mehānismu (turpmāk – regula Nr. 2021/241) 34. panta 2. punkta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ar projekta darbībām tieši saistīto publicitātes un vizuālās identitātes pasākumu izmaksas, kas veiktas atbilstoši regulas Nr. 2021/241 34. panta 2. punkta prasībām, nepārsniedzot vienu procentu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15.5. apakšpunktu, ņemot vērā, ka tas dublē noteikumu projekta 15.2.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Nodokļa izmaksas nav attiecināmas finansēšanai no Atveseļošanas fonda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17. punktu vai nu pārcelt aiz 11.punkta, vai nu apvienot ar 11.punktu. Vienlaikus lūdzam papildināt noteikumu projektu, norādot, no kādiem līdzekļiem tiks segts pievienotās vērtības nodoklis.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projekta īstenošanas laikā sadārdzinās projekta plānotās attiecināmās izmaksas, finansējuma saņēmējs papildu izmaksas sedz no paša rīcībā esošajiem finanšu līdzekļiem, kas ir brīvi no komercdarbības atbalsta.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20. punktu, ņemot vērā, ka noteikumu projekts neparedz valsts atbalsta piešķiršanu.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projekta īstenošanai var piesaistīt sadarbības partneri. Sadarbības partneris vismaz divus gadus pirms projekta iesniegšanas ir Latvijas Republikas Uzņēmumu reģistrā reģistrēta juridiska persona, kas sniedz pakalpojumus masu informācijas līdzekļiem un:</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izdalīt noteikumu projekta 21. punkta otro teikumu kopā ar apakšpunktiem kā jaunu punktu, ņemot vērā, ka noteikumu projekta 21. punkta pirmais teikums attiecas uz projekta iesniedzēju, bet otrais teikums nosaka prasības sadarbības partnerim.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ar katru sadarbības partneri slēdz rakstveida sadarbības līgumu par pušu pienākumiem, tiesībām un atbildību projekta mērķa un rādītāju sasniegšanā.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norādot sadarbības partnera veicamās darbības un resursus, ar kādiem tas iesaistās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ar katru sadarbības partneri slēdz rakstveida sadarbības līgumu par pušu pienākumiem, tiesībām un atbildību projekta mērķa un rādītāju sasniegšanā.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juridiskās tehnikas prasībām tiesību normai ir jābūt skaidrai, lai tās lietotājs un piemērotājs gūtu nepārprotamu priekšstatu par normā ietvertajiem pienākumiem un tiesībām. Ievērojot minēto, lūdzam precizēt noteikumu projekta 22.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Finansējuma saņēmējs ar sadarbības partneri slēdz rakstveida sadarbības līgumu, kurā ietver pušu pienākumus, tiesības un atbildību projekta mērķu un rādītāju sasniegšanā.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iesniedzējs sagatavo projekta iesniegumu saskaņā ar projektu iesniegumu konkursa nolikumu un iesniedz to Kohēzijas politikas fondu vadības informācijas sistēmā (turpmāk – Vadības informācijas sistēma) sludinājumā par projekta iesniegumu konkursa izsludināšanu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terminoloģiju MKN tekstā, ierosinām redakcionāli precizēt punktu, vārdu "konkursa" aizstājot ar "atlases" un "sludinājumā" aizstājot ar "paziņojumā".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Līdzīgu precizējumu ierosinām veikt arī MKN 3.punktā, "atklāta projektu iesniegumu konkursa veidā" precizējot uz "atklātas projektu iesniegumu atlases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Projekta iesniedzējs sagatavo projekta iesniegumu saskaņā ar projektu iesniegumu atlases nolikumu un iesniedz to Kohēzijas politikas fondu vadības informācijas sistēmā (turpmāk – Vadības informācijas sistēma) paziņojumā par projekta iesniegumu atlases izsludināšanu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Projektu iesniegumu vērtēšanai aģentūra izveido projektu iesniegumu vērtēšanas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ka komisijas sastāvā iekļauj arī pārstāvi no nozares ministrijas.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Projektu iesniegumu vērtēšanai aģentūra izveido projektu iesniegumu vērtēšanas komisiju.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29. punktu, norādot vērtēšanas komisijas sastāvu.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kopējais punktu skaits ir vienāds, priekšroku dod projekta iesniegumam, kuru paredzēts īstenot plānošanas reģionā ar mazāko reģionālo iekšzemes kopproduktu uz vienu iedzīvotāju (pēc pēdējiem aktuālajiem Centrālās statistikas pārvaldes datiem par pēdējo aktuālo kalendāra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no viena plānošanas reģiona iespējami vairāki projektu iesniedzēji, aicinām ranžēšanai papildus paredzēt izšķirošu pazīmi ar kvantitatīvu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Aģentūra, pamatojoties uz projektu iesniegumu vērtēšanas komisijas sniegto atzinumu, pieņem pārvaldes lēmumu par projekta iesnieguma apstiprināšanu, apstiprināšanu ar nosacījumu vai noraidīšanu.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20.punktā definēto projektu iesniedzēju loku, proti, juridiskas personas, ierosinām šajā punktā precizēt, ka CFLA izdod administratīvos aktus.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Silva Blite (FM) (Dainis Upmacis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36.4. nav novērstas projekta iesnieguma nepilnības saskaņā ar šo noteikumu </w:t>
            </w:r>
            <w:r w:rsidR="00000000" w:rsidRPr="00000000" w:rsidDel="00000000">
              <w:rPr>
                <w:rtl w:val="0"/>
              </w:rPr>
              <w:t xml:space="preserve">34.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norādot 35.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Aģentūras lēmumu par projekta iesnieguma apstiprināšanu vai noraidīšanu mēneša laikā var apstrīdēt Finanšu ministrijā kā Atveseļošanas fonda koordinējošā iestādē. Savukārt Finanšu ministrijas izdoto administratīvo aktu var pārsūdzēt, iesniedzot pieteikumu Administratīvās rajona tiesas attiecīgajā tiesu namā.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33. un 35.punktā noteikto, ka aģentūra pieņem arī lēmumu par projekta apstiprināšanu ar nosacījumiem, kā arī to, ka praksē projektu iesniedzēji mēdz apstrīdēt tieši pašu lēmumu par nosacījumu izvirzīšanu, aicinām papildināt šī punkta pirmo teikumu kā atsevišķu lēmuma veidu minot arī lēmumu par projekta iesnieguma apstiprināšanu ar nosacījumu.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Aģentūras lēmumu par projekta iesnieguma apstiprināšanu, apstiprināšanu ar nosacījumu vai noraidīšanu mēneša laikā var apstrīdēt Finanšu ministrijā kā Atveseļošanas fonda koordinējošā iestādē.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Silva Blite (FM) (Dainis Upmacis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Līgumā par projekta īstenošanu paredz: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39. punktu, nosakot, ka līgumā ir ietverta kārtība, kādā aģentūra var vienpusēji atkāpties no līguma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 finansēšanas plāna iesniegšanas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"finansēšanas plāna" uz "plānoto maksājuma pieprasījumu iesniegšanas grafika"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Projekta īstenošanas un finansējuma saņemšanas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projekta ietvaros ir/nav paredzēta neatkarīga revidenta/ iekšējā auditora iesaiste, lai apliecinātu mērķa sasniegšanu un izmaksu pamatotību.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Projekta īstenošanas un finansējuma saņemšanas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projekta īstenošanas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40.5. noslēguma maksājuma saņemšanai finansējuma saņēmējs iesniedz noslēguma maksājuma apmēra pamatojumu un nodošanas – pieņemšanas aktu, kas apliecina darbu pabeigšanu, veiksmīgu testēšanu un lietotājam pieejamu produkcijas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Nepārprotamai redakcijai aicinām noteikumu projekta 40.5.apakšpunktu izteikt šādi: "noslēguma maksājuma saņemšanai finansējuma saņēmējs iesniedz noslēguma maksājuma apmēra pamatojumu un nodošanas – pieņemšanas aktu, kas apliecina darbu pabeigšanu, veiksmīgu testēšanu, ieviešanu produktīvajā darbībā un lietotājam pieejamu."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40.5. noslēguma maksājuma saņemšanai finansējuma saņēmējs iesniedz noslēguma maksājuma apmēra pamatojumu un nodošanas – pieņemšanas aktu, kas apliecina darbu pabeigšanu, veiksmīgu testēšanu, ieviešanu produktīvajā darbībā un lietotājam pieejamu.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pieņemt lēmumu par finansējuma saņēmēju administrēto izmaksu atbilstību šiem noteikumiem un noslēgtajiem līgumiem par projektu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42.1.apakšpunktu izteikt šādā redakcijā “pieņemt lēmumu par izmaksu atbilstību šiem noteikumiem un noslēgtajiem līgumiem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 saņēmēju līmenī izlases veidā finansējuma nodrošināt korupcijas, krāpšanas, interešu konflikta novēršanas principu pārbaudes saskaņā ar regulas Nr. 2018/1046 61. pantu, kā arī dubultfinansējuma riska novēršanas un sasniegto mērķu pamatojošās dokumentācijas pārbaudes izlases veidā, tai skaitā datu ticamības pārbaudes;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punkta redakciju, kas visticamāk domāta "finansējuma saņēmēja līmenī izlases veidā nodrošināt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 noslēgt līgumus ar finansējuma saņēmējiem, iekļaujot pienākumu projektu finansējuma saņēmējiem veikt otrreizējo digitālā brieduma testu, un iesniegt aģentūrai neatkarīgu novērtējumu par finansējuma saņēmēja digitālo un inovāciju briedumu un par veikto investīciju atbilstību digitālās attīstības ceļa kartei (turpmāk – atzinums).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42.5. apakšpunktu, tā sākumā konkrēti norādot, kādu līgumu aģentūrai ir pienākums slēgt.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42.5. noslēgt līgumus par projekta īstenošanu ar finansējuma saņēmējiem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 nodrošināt korupcijas un krāpšanas novēršanas nosacījumu ievērošanu, kā arī interešu konflikta un dubultā finansējuma riska novēršanu;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ka arī sadarbības partneris, iesaistoties projekta īstenošanā, nodrošinās interešu konflikta neesamību.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 iepirkumu, kas nepieciešams projekta īstenošanai, veikt saskaņā ar normatīvajiem aktiem publisko iepirkumu jomā, īstenojot atklātu, pārredzamu, nediskriminējošu un konkurenci nodrošinošu konkursa procedūru. Atbalstāma ir vides prasību integrācija preču un pakalpojumu iepirkumos, kā arī vides pieejamības un izmantojamības nodrošināšana – zaļais publiskais iepirkums, inovāciju iepirkums un sociāli atbildīgs iepirkums;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sadarbības partnerim jāievēro noteikumu projekta 43.6. apakšpunktā ietvertais nosacījums, ja tiek plānots, ka arī sadarbības partneris veiks iepirkumus.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43.10. nodrošināt projektu īstenošanas dokumentu, tai skaitā atzinumu, kas pamato noteikto rādītāju sasniegšanu, glabāšanu visā projekta īstenošanas laikā un piecus gadus pēc pēdējā maksājuma dalībvalstij jeb līdz 2031. gada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kāds dokuments noteikumu projekta 43.10.apakšpunktā uzskatāms kā atzinums, kas pamato noteikto rādītāju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š.g. 10.oktobrī saņemto komentāru par principa "Nenodarīt būtisku kaitējumu" un "Zaļā publiskā iepirkuma” nodrošināšanu investīcijas ietvaros, lūdzam skaidri definēt, kurā brīdī tiks veiktas pārbaudes pret principa "Nenodarīt būtisku kaitējumu" un zaļā iepirkuma nosacījumiem, piemēram IKT aprīkojuma iegādei un citiem tehnoloģiskajiem risinājumiem. Aicinām minētos nosacījumus/kritērijus jau šobrīd noteikt noteikumu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kādā veidā ir ņemts vērā Eiropas Komisijas š.g. 10.oktobrī saņemtais komentārs par Padomes īstenošanas lēmuma par Latvijas atveseļošanas un noturības plāna novērtējuma apstiprināšanu, ka 2.2.1.5.i investīcija ietver atbalsta shēmu </w:t>
            </w:r>
            <w:r w:rsidR="00000000" w:rsidRPr="00000000" w:rsidDel="00000000">
              <w:rPr>
                <w:u w:val="single"/>
                <w:rtl w:val="0"/>
              </w:rPr>
              <w:t xml:space="preserve">ieguldījumiem tehnoloģisko risinājumu izstrādē</w:t>
            </w:r>
            <w:r w:rsidR="00000000" w:rsidRPr="00000000" w:rsidDel="00000000">
              <w:rPr>
                <w:rtl w:val="0"/>
              </w:rPr>
              <w:t xml:space="preserve"> un </w:t>
            </w:r>
            <w:r w:rsidR="00000000" w:rsidRPr="00000000" w:rsidDel="00000000">
              <w:rPr>
                <w:u w:val="single"/>
                <w:rtl w:val="0"/>
              </w:rPr>
              <w:t xml:space="preserve">digitālo prasmju un uzņēmējdarbības modeļu uzlabošanā</w:t>
            </w:r>
            <w:r w:rsidR="00000000" w:rsidRPr="00000000" w:rsidDel="00000000">
              <w:rPr>
                <w:rtl w:val="0"/>
              </w:rPr>
              <w:t xml:space="preserve"> plašsaziņas līdzekļu nozarē. Proti, no noteikumu projekta nav skaidrs kā tiks veikta uzņēmējdarbības modeļu uzlabošana plašsaziņas līdzekļu nozarē.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ir izvērtēta biedrību un nodibinājumu iesaiste pasākuma īstenošanā. Gadījumā, ja iesaiste nav iespējama, aicinām sniegt informāciju un apsvērumus, kādēļ to iesaiste ieviešanā nav iespējama.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ieguldījumu rezultātā īpašumtiesības (īpašumā, ilgtermiņa nomā, bezatlīdzības lietošanā, valdījumā u.c.) uz digitālajām platformām un digitāliem risinājumiem piederēs 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Apakšsadaļā "Risinājuma apraksts" 5.apakšpunkta redakciju aicinām izteikt šādi "5. investīcijas pasākuma projekta vadības un projektu īstenošanas personāla izmaksas, nepārsniedzot 10 procentus no kopējām projekta </w:t>
            </w:r>
            <w:r w:rsidR="00000000" w:rsidRPr="00000000" w:rsidDel="00000000">
              <w:rPr>
                <w:u w:val="single"/>
                <w:rtl w:val="0"/>
              </w:rPr>
              <w:t xml:space="preserve">attiecināmā</w:t>
            </w:r>
            <w:r w:rsidR="00000000" w:rsidRPr="00000000" w:rsidDel="00000000">
              <w:rPr>
                <w:rtl w:val="0"/>
              </w:rPr>
              <w:t xml:space="preserve">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2.2.1.5.i. investīcijas procesu modernizācijas pasākumu īsteno un tā ietvaros sasniedzamos mērķrādītājus -  izveidotas vismaz trīs digitālās platformas vai digitālie risinājumi - jāsasniedz līdz 2025. gada 30. jūnijam, aicinām anotācijas 3.sadaļā pārskatīt pasākuma ietvaros izdevumu attiecināmības termiņu, kā arī izvērtēt, vai korekti norādīts 2026.gads izmaksu plānošanai.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23-TA-2953</w:t>
    </w:r>
    <w:r>
      <w:br/>
    </w:r>
    <w:r w:rsidR="00000000" w:rsidRPr="00000000" w:rsidDel="00000000">
      <w:rPr>
        <w:rtl w:val="0"/>
      </w:rPr>
      <w:t xml:space="preserve">Izdrukāts 27.11.2023. 19.37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23-TA-2953</w:t>
    </w:r>
    <w:r>
      <w:br/>
    </w:r>
    <w:r w:rsidR="00000000" w:rsidRPr="00000000" w:rsidDel="00000000">
      <w:rPr>
        <w:rtl w:val="0"/>
      </w:rPr>
      <w:t xml:space="preserve">Izdrukāts 27.11.2023. 19.37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Atzinumi_23-TA-2953.docx</dc:title>
</cp:coreProperties>
</file>

<file path=docProps/custom.xml><?xml version="1.0" encoding="utf-8"?>
<Properties xmlns="http://schemas.openxmlformats.org/officeDocument/2006/custom-properties" xmlns:vt="http://schemas.openxmlformats.org/officeDocument/2006/docPropsVTypes"/>
</file>