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 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mērķī norādīto, proti, ka mērķis ir samazināt administratīvo slogu privātpersonām, kas piedalās administratīvajā procesā, kā arī to, ka grozījumi skar informācijas sniegšanas pienākumus, lūdzu izvērtēt ar likumprojektu veiktās izmaiņas informācijas sniegšanas pienākumos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(turpmāk - vadlīnijas)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mērķis ir vienkāršot un efektivizēt administratīvo procesu iestādē un tiesā, kā arī to, ka grozījumi skar informācijas sniegšanas pienākumus, lūdzu izvērtēt ar likumprojektu veiktās izmaiņas informācijas sniegšanas pienākumos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(turpmāk - vadlīnijas)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nav ietverta informācija, kā likumprojekts ietekmēs fiziskas un juridiskas personas. Lūdzu papildināt aprakstu ar to, kas fiziskām un juridiskām personām mainīsies, pieņemot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12.11.2025.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12.11.2025.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Atzinumi_25-TA-2124.docx</dc:title>
</cp:coreProperties>
</file>

<file path=docProps/custom.xml><?xml version="1.0" encoding="utf-8"?>
<Properties xmlns="http://schemas.openxmlformats.org/officeDocument/2006/custom-properties" xmlns:vt="http://schemas.openxmlformats.org/officeDocument/2006/docPropsVTypes"/>
</file>