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22-TA-2786: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atkārtoti aicina paredzēt kārtību, kā LIAA kā attiecīgās programmas finansējuma saņēmējam izstrādājamo stratēģiju saskaņot ne tikai ar Inovāciju un pētniecības pārvaldības padomi, kuras sastāvā ir Ekonomikas ministrijas un Izglītības un zinātnes ministrijas pārstāvji, bet ar visām vai konkrētām nozaru ministrijām,kā Aizsardzības ministriju, Iekšlietu ministriju, Ārlietu ministriju, Satiksmes ministriju, kuru pārraudzībā ir svarīgi arī tieši tautsaimniecības attīstību un arī uzņēmumu konkurētspēju ietekmējoši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nepiekrīt izziņas 49.punktā paustajam, ka EM nesaskata lietderību LIAA stratēģiju par projekta īstenošanu skaņot ar visām nozares ministrijām. Un tā kā šajā pašā izziņas punktā ir minēts, ka Inovāciju un pētniecības pārvaldības padome koordinē informācijas nodošanu tālāk nozarei, kā arī komunikāciju stratēģisko jautājumos ar nozari - </w:t>
            </w:r>
            <w:r w:rsidR="00000000" w:rsidRPr="00000000" w:rsidDel="00000000">
              <w:rPr>
                <w:u w:val="single"/>
                <w:rtl w:val="0"/>
              </w:rPr>
              <w:t xml:space="preserve">tad DAIF Latvija aicina MK noteikumu projekta anotācijā iekļaut atsauci uz to, kā praksē (programmas ieviešanas ietvaros) tiks īstenota komunikācija un sadarbība ar nozaru ministrijām, ja arī tas netiek īstenots formālā saskaņošanas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atkārtoti uzsver - ka, lai arī šīs programmas mērķa grupa ir uzņēmumi un pētniecības organizācijas, tad ir kristiski svarīgi, lai aktivitātes tiktu īstenotas sasaistē ar aktuālajām nozaru prioritātēm un attīstības plānošanas dokumentiem. Attiecīgi, arī šīs programmas ietvaros mērķa grupas īstenojamās aktivitātes var sniegt būtisku ietekmi uz nozaru kopējo attīstību un programmas mērķa sasniegšanu, ja tās ir atbilstošas nozaru prioritātēm un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uztur aktuālu priekšlikumu attiecībā uz nozaru asociāciju iesaisti atbalsta programmas ieviešanā, jo tieši nozaru un starpnozaru asociācijas ir tās, kas var mazināt identificētos riskus programmas ieviešanā, jo ikdienā strādā ar uzņēmumiem un pētniecības organizācijām, un ļoti labi pārzina gan problemātiku, gan aktuālos izaicinājumus konkrētās nozarēs, kā rezultātā arī kopīgi strādā pie konkrētiem risinājumiem. Nozaru un starpnozaru asociācijas ir tās, ka jau ikdienā gan izprot vajadzības, balstoties tieši uz savu profesionalitāti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gan pati programma un tajā paredzēto aktivitāšu mērķa grupa ir tieši komersanti un to sadarbības veicināšana ar pētniecisko sektoru tehnoloģiju pārneses sekmēšanai, arī Ekonomikas ministrija atzīst, ka LIAA ir jāsadarbojas ar nozaru asociācijām, lai nodrošinātu programmas efektīvu ieviešanu (Izziņas 346.punkts).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DAIF Latvija aicina MK noteikumu projekta anotācijā iekļaut atsauci uz to, kā LIAA šīs programmas ietvaros sadarbosies ar nozaru asociācijām, lai nodrošināta šādas sadarbības īstenošanu arī praksē.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11.09.2023.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22-TA-2786</w:t>
    </w:r>
    <w:r>
      <w:br/>
    </w:r>
    <w:r w:rsidR="00000000" w:rsidRPr="00000000" w:rsidDel="00000000">
      <w:rPr>
        <w:rtl w:val="0"/>
      </w:rPr>
      <w:t xml:space="preserve">Izdrukāts 11.09.2023.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Atzinumi_22-TA-2786.docx</dc:title>
</cp:coreProperties>
</file>

<file path=docProps/custom.xml><?xml version="1.0" encoding="utf-8"?>
<Properties xmlns="http://schemas.openxmlformats.org/officeDocument/2006/custom-properties" xmlns:vt="http://schemas.openxmlformats.org/officeDocument/2006/docPropsVTypes"/>
</file>