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2.2.3.5.pasākuma “Gaisa piesārņojuma samazināšanas pasākumi pašvaldībās” projektu iesniegumu vērtēšanas kritēriju kopā ir iekļauts kritērijs, kas paredz vērtēt, vai projektam ir veikts projekta ietekmes uz tautsaimniecību novērtējums, nodrošinot projekta rezultātu ilgtspēju, vienlaikus paredzot novērtējuma pielikumā attiecībā uz aprēķiniem par projekta īstenošanas finanšu/ekonomiskajiem ieguvumiem pievienot izmaksu un ieguvumu analīzi.  Vēršam uzmanību uz Ministru kabineta 2023. gada 13. jūlija sēdes protokollēmumā (prot. Nr. 36 85. § 3. punkts) noteikto – proti, 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Pievienotās vērtības nodokli)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analīze pēc būtības ir nepieciešama, lai noteiktu, vai plānotajā projektā gaidāmie ieguvumi (finanšu vai sociālekonomiskie) ir lielāki par projekta izmaksām visā projekta dzīves ciklā. Parasti publiskās pārvaldes projekti finansiāli rada zaudējumus, tādēļ vienīgais to attaisnojošais iemesls ir gaidāmie sociālekonomiskie ieguvumi no projekta jeb labums sabiedrībai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piemēri potenciālajiem ieguvumiem būtu meklējami valsts pārvaldes izmaksu, kas nepieciešami funkciju veikšanai, ietaupījumā (salīdzinot situāciju ar projektu un bez projekta),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uzlabojot atbalsta sistēmu, uzlabojot speciālistu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samazinot personu skaitu, kurām nepieciešama palīdzība vai papildus palīdzība, kā rezultātā rodas ietaupījumi valsts budžetā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nepieciešamību papildināt noteikumu projektu ar normu, kas paredz, ka finansējuma saņēmējs veic izmaksu un ieguvumu analīzi. Atbilstoši lūdzam papildināt arī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rezultāta rādītāja vērtību nosaka attiecīgās valstspilsētas iedzīvotāju blīvumu reizinot ar attiecīgās valstspilsētas projekta īstenošanas darbībām attiecināmo teritoriju. Vērtību uzskata par sasniegtu projekta pēcuzraudzības pirmā gada beigās ņemot vērā demogrāfisko izmaiņu ietekmi uz vērtības izmaiņām. Rezultāta rādītāja vērtība valstspilsētā nepārsniedz konkrētās valstspilsētas iedzīvotāju skaitu.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Rezultatīvā rādītāja vērtības aprēķina apraksts nav atbilstošs MK noteikumu anotācijā norādītajam: iedzīvotāju blīvumu (iedzīvotāji/kvadrātkilometru) reizina ar kvadrātkilometriem un noteikto koeficientu (piemēram, teritorijas labiekārtošanas izmaksu gadījumā ar 6,25 un siltumapgādes pieslēgumu ierīkošanas un ar to saistītās jaudas palielināšanas gadījumā ar 0,13). Lūdzu precizēt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ja pirmajai atlases kārtai pieejamais Eiropas Reģionālās attīstības fonda finansējums netiek izlietots vai otrā projektu iesniegumu atlase netiek izsludināta vai pieejamais finansējums netiek pilnībā izlietots, tad pieejamo finansējumu novirza pirmajā kārtā apstiprināto projektu papildus darbību finansēšanai, tai skaitā, lai sasniegtu vismaz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rādītāju;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norādīt rīcību noteikumu projekta 12.4.apakšpunktā noteikto papildu darbību iekļaušanai, t.sk., vai papildu darbības jau sākotnēji tiks ietvertas projektā, kādas darbības varēs uzskatīt par papildus darbībām. Vēršam uzmanību, ka noteikumu projekta 12.4.apakšpunktā ietvertajam nosacījumam par finansējuma novirzīšanu papildu darbību īstenošanai  nav viennozīmīgi skaidri izsekojama veicamā rīcība.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slēdzot rakstisku sadarbības līgumu, var piesaistīt šādus sadarbības partnerus: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vai papildināt noteikumu projekta 18.punktu ar nosacījumu, ka projekta iesniedzējs ar sadarbības partneri slēdz rakstveida sadarbības līgumu par pušu pienākumiem, tiesībām un atbildību projekta mērķa un rādītāju sasniegšanā atbilstoši normatīvajiem aktiem par kārtību, kādā Eiropas Savienības fondu vadībā iesaistītās institūcijas nodrošina šo fondu ieviešanu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noteikumu projekta 18. punkta secināms, ka sadarbības līgums tiks slēgts vēl pirms projekta iesnieguma iesniegšanas sadarbības iestādē. Ievērojot minēto, lūdzam papildināt noteikumu projekta II nodaļu ar regulējumu, kas paredz, ka tiks slēgts nodomu protokols. Norma par nodomu protokola slēgšanu būtu izsakāma, piemēram, šādā redakcijā (punktu numerāciju precizējot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Ja līdz projekta iesnieguma iesniegšanas dienai nav noslēgts sadarbības līgums, projekta iesniegumam pievieno finansējuma saņēmēja un sadarbības partnera noslēgtu nodomu protokolu. Nodomu protokolā iekļauj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x.1. apņemšanos sadarboties projekta īstenošanā, tai skaitā noslēgt sadarbības līgumu, ja projekta iesniegums tiks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x.2. norādi par sadarbības partnera veicamajiem pienākumiem šo noteikumu y. punktā minēto atbalstāmo darbību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x.3. kārtību, kādā veicami norēķini ar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x.4. kārtību, kādā sagatavo un iesniedz attiecināmās izmaksas pamatojošos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ja sadarbības līgums tiek slēgts pēc projekta iesnieguma apstiprināšanas, tad lūdzam aizstāt vārdus "projekta iesniedzējs" ar vārdiem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23.7. sabiedrības informēšanas, izglītošanas un publicitātes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2021. - 2027.gada  plānošanas periodā izveidojošos praksi un horizontālajos normatīvajos aktos lietoto jēdzienu "komunikācijas un vizuālās identitātes prasību nodrošināšanas nosacījumi", aicinām izvērtēt un pēc nepieciešamības precizēt noteikumu projekta 23.7., 25.19. un 41.1.apakšpunktu. Attiecīgu precizējumu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atkritumu šķirošanas tvertņu iegāde un uzstādīšana;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atkritumu šķirošanas tvertņu iegādes un uzstādīšanas </w:t>
            </w:r>
            <w:r w:rsidR="00000000" w:rsidRPr="00000000" w:rsidDel="00000000">
              <w:rPr>
                <w:rtl w:val="0"/>
              </w:rPr>
              <w:t xml:space="preserve">izmaksas ir izmaksas, kas parasti ir jāsedz atkritumu apsaimniekotājam, nevis vispārējās tautsaimniecības pakalpojumu sniedzējam. Lūdzam anotācijā iekļaut skaidrojumu un 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ūdenssaimniecības (dzeramā ūdens ieguves, sagatavošanas un piegādes infrastruktūra, sadzīves notekūdeņu savākšanas, attīrīšanas un novadīšanas infrastruktūra, izņemot dūņu pārstrādi un apsaimniekošanu) un publiski pieejama dzeramā ūdens ieguves vietas (brīvkrāna) ierīkošanai, gaisu mitrinošiem vai citiem pasākumiem, kas nepieciešami projekta mērķa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par attiecināmajās izmaksās ietvertajiem ūdenssaimniecības pakalpojumiem, saskaņojot informāciju ar MK noteikumu anotācijā norādīto ("</w:t>
            </w:r>
            <w:r w:rsidR="00000000" w:rsidRPr="00000000" w:rsidDel="00000000">
              <w:rPr>
                <w:i w:val="1"/>
                <w:rtl w:val="0"/>
              </w:rPr>
              <w:t xml:space="preserve">Noteikumu projekta ietvaros elektroenerģijas un ūdenssaimniecības pieslēgumu ierīkošana un to saistītās jaudas palielināšana nav paredzētas kā atbalstāmās darbības, izņemot, ja tās saistītas ar publiski pieejama dzeramā ūdens ieguves vietas ierīkošanu vai citiem pasākumiem, kas nepieciešami projekta mērķa sasniegšanai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vides un informācijas pieejamības veicināšanai nepieciešamā aprīkojuma iegādes un būvdarbu veikšanas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MK noteikumu anotācijā un/vai precizēt redakciju, kādas vides un informācijas pieejamības veicināšanai nepieciešamā aprīkojuma iegādes un būvdarbu veikšanas izmaksas ir attiecināmas un kā tās veicina pasākuma mērķa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ceļu seguma infrastruktūras būvdarbu, pārbūves un atjaunošanas izmaksas, kas nepārsniedz 20% no projekta kopējām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MK noteikumu anotācijā skaidrot kādas ceļu seguma infrastruktūras būvdarbu, pārbūves un atjaunošanas izmaksas ir attiecināmas (jebkuras vai tikai tās, kas ietver risinājumus piesārņojuma mazināšanai, piemēram, grants ceļu atjaunošanas izmaksas nav attiecināmas)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25.15. projekta iesnieguma pamatojošās dokumentācijas sagatavošanas izmaksas, kas tieši saistītas ar projektā plānotajām darbībām, būvuzraudzības, autoruzraudzības, būvniecības ieceres dokumentācijas un būvprojekta sagatavošanas un ar to saistītās normatīvajos aktos paredzētās būvekspertīzes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vadlīnijās attiecināmo izmaksu noteikšanai Eiropas Savienības kohēzijas politikas programmas 2021.-2027.gada plānošanas periodā noteikts, ka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ja tas ir noteikts Ministru kabineta noteikumos par specifiskā atbalsta mērķa īstenošanu (t.sk. veicot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nodrošināt minētā ierobežojuma iekļaušanu Ministru kabineta noteikumos, kā arī norādīt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25.15. projekta iesnieguma pamatojošās dokumentācijas sagatavošanas izmaksas, kas tieši saistītas ar projektā plānotajām darbībām, būvuzraudzības, autoruzraudzības, būvniecības ieceres dokumentācijas un būvprojekta sagatavošanas un ar to saistītās normatīvajos aktos paredzētās būvekspertīzes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redakciju, norādot visus projekta iesnieguma pamatojošās dokumentācijas veidus, t.sk. projekta ietekmes uz tautsaimniecību novērtējumu.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izdalīt būvuzraudzības un autoruzraudzības izmaksas kā atsevišķu izmaksu veidu, jo tās neattiecas uz projekta pamatojošo dokumentāciju.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iesnieguma pamatojošās dokumentācijas sagatavošanas izmaksas, kas tieši saistītas ar projektā plānotajām darbībām: projekta ietekmes uz tautsaimniecību novērtējums, būvniecības ieceres dokumentācija un būvprojekta sagatavošana un ar to saistītās normatīvajos aktos paredzētās būvekspertīzes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Komercdarbības atbalsts pasākuma ietvaros tiek sniegts saskaņā ar Eiropas Komisijas lēmumu Nr. 2012/21/ES.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uz kādām projekta darbībām attiecas komercdarbības atbalsts saskaņā ar Eiropas Komisijas lēmumu Nr. 2012/21/ES.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nodrošina, ka projektā izveidotā infrastruktūra būs  noturīga pret ekstrēmiem klimatiskajiem notikumiem, tai skaitā iesniedz novērtējumu, kā projekta ietvaros tiks nodrošināta atbilstība pielāgošanās klimata pārmaiņām aspektiem, lai uzlabotu noturības līmeni pret klimata pārmaiņu ietekmi, novēršot infrastruktūras neaizsargātību pret klimatisko apstākļu iespējamo ilgtermiņa ietekmi vai akūtiem notikumiem.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kāda veida novērtējums projekta iesniedzējam ir jāiesniedz un, ja attiecināms, papildināt 21.punktu ar minēto novērtējumu.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Projekta iesniedzējam un sadarbības partnerim (ja attiecināms) ir īpašuma vai valdījuma tiesības vai apbūves tiesība uz nekustamo īpašumu, tai skaitā zemi un infrastruktūru, kurā tiks veiktas projektā paredzētās darbības, uz termiņu, kas nav mazāks par pieciem gadiem pēc noslēguma maksājuma veikšanas. Nekustamā īpašuma, tai skaitā zemes, īpašuma tiesības un apbūves tiesību nostiprina zemesgrāmatā ne vēlāk kā līdz attiecīgo projekta darbību uzsākšanai (izņemot gadījumu, ja pašvaldības īpašums uz normatīvā akta, līguma vai pašvaldības lēmuma pamata ir nodots pašvaldības iestādes – projekta iesniedzēja – pārvaldīšanā vai ja īpašuma tiesības uz īpašuma objektu ir spēkā bez to nostiprināšanas zemesgrāmatā). Projekta iesniedzējam un sadarbības partnerim (ja attiecināms) jānodrošina, ka tam ir tiesības projekta īstenošanas un pēcuzraudzības laikā piekļūt zemesgabaliem, kur projekta ietvaros paredzēti būvdarbi, un veikt tajos nepieciešamos uzturēšanas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Lūdzu precizēt redakciju, apbūves tiesību paredzot atbilstoši Civillikuma 1129.</w:t>
            </w:r>
            <w:r w:rsidR="00000000" w:rsidRPr="00000000" w:rsidDel="00000000">
              <w:rPr>
                <w:vertAlign w:val="superscript"/>
                <w:rtl w:val="0"/>
              </w:rPr>
              <w:t xml:space="preserve">2</w:t>
            </w:r>
            <w:r w:rsidR="00000000" w:rsidRPr="00000000" w:rsidDel="00000000">
              <w:rPr>
                <w:rtl w:val="0"/>
              </w:rPr>
              <w:t xml:space="preserve">.punktam, t.i. ne mazāku par 10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noteikt vienotu nekustamā īpašuma, tai skaitā zemes, īpašuma tiesības un apbūves tiesību nostiprināšanas zemesgrāmatā termiņu, piemēram, līdz pirmā maksājuma pieprasījuma iesniegšanai sadarbības iestādē nevis "</w:t>
            </w:r>
            <w:r w:rsidR="00000000" w:rsidRPr="00000000" w:rsidDel="00000000">
              <w:rPr>
                <w:i w:val="1"/>
                <w:rtl w:val="0"/>
              </w:rPr>
              <w:t xml:space="preserve">ne vēlāk kā līdz attiecīgo projekta darbību uzsākšanai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skaidrot MK noteikumu anotācijā uz kādiem gadījumiem neattiecas īpašumtiesību nostiprināšana zemesgrāmatā.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MK noteikumu 17. punktā kā projekta iesniedzējs nav noteikta pašvaldības iestāde. (</w:t>
            </w:r>
            <w:r w:rsidR="00000000" w:rsidRPr="00000000" w:rsidDel="00000000">
              <w:rPr>
                <w:i w:val="1"/>
                <w:rtl w:val="0"/>
              </w:rPr>
              <w:t xml:space="preserve">Projekta iesniedzējs, kas pēc projekta iesnieguma apstiprināšanas ir finansējuma saņēmējs, pasākuma ietvaros ir Rīgas valstspilsētas, Liepājas valstspilsētas un Rēzeknes valstspilsētas pašvaldība</w:t>
            </w:r>
            <w:r w:rsidR="00000000" w:rsidRPr="00000000" w:rsidDel="00000000">
              <w:rPr>
                <w:rtl w:val="0"/>
              </w:rPr>
              <w:t xml:space="preserve">). Lūdzu precizēt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Lūdzu dzēst "</w:t>
            </w:r>
            <w:r w:rsidR="00000000" w:rsidRPr="00000000" w:rsidDel="00000000">
              <w:rPr>
                <w:i w:val="1"/>
                <w:rtl w:val="0"/>
              </w:rPr>
              <w:t xml:space="preserve">Projekta iesniedzējam un sadarbības partnerim (ja attiecināms) jānodrošina, ka tam ir tiesības projekta īstenošanas un pēcuzraudzības laikā piekļūt zemesgabaliem, kur projekta ietvaros paredzēti būvdarbi, un veikt tajos nepieciešamos uzturēšanas darbus.</w:t>
            </w:r>
            <w:r w:rsidR="00000000" w:rsidRPr="00000000" w:rsidDel="00000000">
              <w:rPr>
                <w:rtl w:val="0"/>
              </w:rPr>
              <w:t xml:space="preserve">", jo ieguldījumus var veikt ja ir īpašuma vai valdījuma tiesības un šādā gadījumā risks nepiekļūt īpašumam nepastāv.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Zeme, uz kuras atrodas tikai siltumenerģijas pārvades un sadales sistēma un (vai) ūdenssaimniecības infrastruktūra, var nebūt projekta iesniedzēja īpašumā, valdījumā vai turējumā.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noteikuma projekta 40.punktu, kas ir pretrunā ar noteikumu projekta 39.punktā noteikto. Gadījumā, ja punkts tiks saglabāts, lūdzam norādīt, kā tiks nodrošināta projekta ilgtspēja un rezultātu ilgtspēja, ja zeme uz kuras notiks projekta īstenošana nebūs ne finansējuma saņēmēja īpašumā, turējumā vai valdījumā. Vēršam uzmanību, ka pastāv risks uz projekta būtiskām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lūdzu papildināt anotāciju, norādot, ka gadījumos, kad sabiedriskā pakalpojuma sniegšanai nepieciešamie inženiertīkli (ūdenssaimniecības un siltumapgādes tīkli) tiek izbūvēti pa privātpersonai piederošu zemes īpašumu, to izbūvi veic, ievērojot būvnormatīvos noteiktās prasības un līdz noslēguma maksājuma veikšanai izbūvētos inženiertīklus kā zemes īpašuma apgrūtinājumu reģistrē Nekustamā īpašuma valsts kadastra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nodrošina atsevišķu grāmatvedības uzskaiti par finansējuma izlietojumu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41.5.punktu ar vārdiem “nodalot tā ietvaros veiktās darbības no citas saimnieciskās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41.8. uzkrāj datus par projekta ietvaros panāktajiem rezultātiem gaisa kvalitātes uzlabošanai, tai skaitā kvantitatīvo ietekmi uz gaisa kvalitātes mērķrādītājiem;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kāda veida informāciju ir nepieciešams uzkrāt.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41.9. uzkrāj datus par projekta ietekmi uz horizontālo principu īstenošanu projekta īstenošanas un pēcuzraudzības laikā un ievēro šādus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piedāvātajā redakcijā, ņemot vērā, ka nav noteikta prasība uzkrāt informāciju par ietekmi uz horizontālo principu īstenošanu projekta pēcuzraudzības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 datus par projekta ietekmi uz horizontālo principu īstenošanu un ievēro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41.10. finansējuma saņēmējs novērš interešu konflikta risku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41.10.apakšpunktu ar nosacījumu,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 Vienlaikus lūdzam papildināt, ka finansējuma saņēmējs un sadarbības partneris paraksta apliecinājumus par interešu konflikta neesamību īstenojot projektā noteiktās darbības.  Attiecīgi aicinām papildināt noteikumu projekta 41.10.apakšpunktu ar normu, ka interešu konflikta risku novērš arī sadarbības partneris.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sadarbības iestādei ir pieejami valsts budžeta līdzekļi, tā, izvērtējot plānotā avansa apmēru un tā pamatojumu un pamatojoties uz finansējuma saņēmēja rakstisku avansa pieprasījumu, pēc vienošanās par projekta īstenošanu noslēgšanas var piešķirt finansējuma saņēmējam avansu.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50 procentiem no projektam piešķirtā Eiropas Reģionālās attīstības fonda un līdzfinansējuma kopsummas, ievērojot, ka avansu var izmaksāt vairākos maksājumos un avansa un starpposma maksājumu kopsumma nepārsniedz 90 procentus no projektam piešķirtā Eiropas Reģionālās attīstības fonda un pašvaldības budžeta 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90% ierobežojums maksājumu veikšanai tiek rēķināts tikai no atbalsta summas, t.i., no ERAF (CFLA nepārskaita pašvaldības budžeta finansējuma daļu, šis apmērs aprēķinā nebūtu jāiekļauj).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tiek pārkāptas šajos noteikumos noteiktās komercdarbības atbalsta piešķiršanas prasības vispārējas tautsaimnieciskas nozīmes pakalpojuma sniegšanai, atbalsta saņēmējam ir pienākums atmaksāt sadarbības iestādei visu projekta ietvaros saņemto nelikumīgo komercdarbības atbalstu kopā ar procentiem saskaņā ar Komercdarbības atbalsta kontroles likuma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44.punktu, ievietojot starp vārdiem “procentiem” un “saskaņā” vārdus “no līdzekļiem, kas ir brīvi no komercdarbības atbalsta”. Vienlaikus, ņemot vērā, ka atbalsta saņēmējam ir pienākums atmaksāt sadarbības iestādei visu projekta ietvaros saņemto nelikumīgo komercdarbības atbalstu, ja tiek pārkāpti komercdarbības atbalsta piešķiršanas nosacījumi vispārējas tautsaimnieciskas nozīmes pakalpojumu sniegšanai, nevis tikai tie nosacījumi, kas iekļauti noteikumos, lūdzam šo noteikumu 44.punkta pirmo palīgteikumu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tiek pārkāpti komercdarbības atbalsta piešķiršanas nosacījumi vispārējas tautsaimnieciskas nozīmes pakalpojumu sniegšanai,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finansējuma saņēmēju, ņemot vērā, ka ar noteikumu projektu tiek uzlikti pienākumi finansējuma saņēmējiem, kas jānodrošina īstenojot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prognozēto pasākumam paredzētā finansējuma sadalījumu pa gadiem līdz pat īstenošanas beigām, kā arī katrā gadā atsevišķi norādīt finansējuma sadalījumu pa avotiem (ERAF finansējums un pašvaldības budžeta finansējums (EUR izteiksmē un %)), lai tiktu skaidri norādīts, kā veidojas anotācijas 3.sadaļas 1.-5.punktā izmaiņu ailēs norādītās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31.punktā minēto, lūdzam papildināt noteikumu projekta 1.punktu ar jaunu apakšpunktu, nosakot komercdarbības atbalsta piešķiršanas nosacījumus, kā arī noteikumos izdalot atsevišķu nodaļu, kas paredz konkrētus komercdarbības atbalsta piešķiršanas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rezultāta rādītāja vērtību nosaka attiecīgās valstspilsētas iedzīvotāju blīvumu reizinot ar attiecīgās valstspilsētas projekta īstenošanas darbībām attiecināmo teritoriju. Vērtību uzskata par sasniegtu projekta pēcuzraudzības pirmā gada beigās ņemot vērā demogrāfisko izmaiņu ietekmi uz vērtības izmaiņām. Rezultāta rādītāja vērtība valstspilsētā nepārsniedz konkrētās valstspilsētas iedzīvotāju skaitu.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mērvienībām , kas tiek izmantotas rezultāta rādītāja aprēķinā (iedzīvotāji/kvadrātkilometru;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Attiecināmā Eiropas Reģionālās attīstības fonda finansējuma apmērs nepārsniedz 85 procentus no projekta kopējā attiecināmā finansējuma, un nacionālā līdzfinansējuma apmērs ir vismaz 15 procenti no projekta kopējā attiecināmā finansējuma. Eiropas Reģionālās attīstības fonda finansējumu piešķir grantu atbalsta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izdalīt noteikumu projekta 10.punkta pēdējo teikumu kā atsevišķu punktu, ņemot vārā, ka tas nosaka finansējuma piešķiršanas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Pasākumu īsteno ierobežotas projektu iesniegumu atlases veidā vairākās atlasēs saskaņā ar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 punktu un apakšpunktus, nosakot, ka pasākums tiek īstenots divās projektu iesniegumu atlases kārtās, attiecīgi precizējot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12.5.1. Rīgas valstspilsētai 50 procenti no atlikušā Eiropas Reģionālās attīstības fonda finansējuma apmēra, proporcionāli sasniedzot vismaz 50 procentus no atlikušā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noteiktā rādītāja vai projektu iesniegumu otrai atlases kārtai paredzētā rādītāja;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arī pie 12.5.2. punkta): Lūdzam  izvērtēt un nepieciešamības gadījumā precizēt punkta redakciju attiecībā uz "atlikušā šo noteikumu 6. punktā noteiktā rādītāja", ņemot vērā, ka ar sākotnējiem projektu līgumiem būtu nepieciešams paredzēt, ka pilnībā tiek sasniegts 6.punktā noteiktais rādītājs. Šādā gadījumā papildus darbības/finansējums var uzlabot sasniegtā rādītāja apmēru, bet rādītājs nebūtu par pamatu papildus finansējuma piešķiršanai.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Projektu iesniegumu atlases kārtā vienas pašvaldības ietvaros iesniedz ne vairāk kā vienu projekta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norādot, ka pašvaldības iesniedz nevis "ne vairāk kā vienu", bet gan "vienu" projekta iesniegumu.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atlases kārtā vienas pašvaldības ietvaros iesniedz </w:t>
            </w:r>
            <w:r w:rsidR="00000000" w:rsidRPr="00000000" w:rsidDel="00000000">
              <w:rPr>
                <w:b w:val="1"/>
                <w:rtl w:val="0"/>
              </w:rPr>
              <w:t xml:space="preserve">vienu</w:t>
            </w:r>
            <w:r w:rsidR="00000000" w:rsidRPr="00000000" w:rsidDel="00000000">
              <w:rPr>
                <w:rtl w:val="0"/>
              </w:rPr>
              <w:t xml:space="preserve"> projekta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Projektā ir vismaz uz kādu gaisu piesārņojošu vielu PM10, PM2,5,  benz(a)pirēna, benzola, slāpekļa dioksīda NO2, kopējās cietās daļiņas (TPM)  vai oglekļa oksīda CO samazināšanu vērsta attiecīgā darbība, vienlaikus, katrā projektā tiek paredzēta vismaz uz daļiņas PM2,5 samazināšanu vērsta attiecīgā 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korekti ir paredzēts, ka katrā projektā jābūt uz kādu gaisa piesārņojošu vielu samazināšanu vērstai darbībai,nevērtējot, vai konkrētās vielas koncentrācija </w:t>
            </w:r>
            <w:r w:rsidR="00000000" w:rsidRPr="00000000" w:rsidDel="00000000">
              <w:rPr>
                <w:u w:val="single"/>
                <w:rtl w:val="0"/>
              </w:rPr>
              <w:t xml:space="preserve">pārsniedz normu</w:t>
            </w:r>
            <w:r w:rsidR="00000000" w:rsidRPr="00000000" w:rsidDel="00000000">
              <w:rPr>
                <w:rtl w:val="0"/>
              </w:rPr>
              <w:t xml:space="preserve">. Piemēram, saskaņā ar anotācijā pievienoto tabulu slāpekļa dioksīda pārsniegums ir tika Rīgas valstspilsētā, taču atbilstoši 16.punkta redakcijai Rēzeknes valstspilsēta var pieteikt darbības šīs vielas samazināšanai, kaut pieļaujamā norma jau šobrīd netiek pārsniegta.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Projektā ir vismaz uz kādu gaisu piesārņojošu vielu PM10, PM2,5,  benz(a)pirēna, benzola, slāpekļa dioksīda NO2, kopējās cietās daļiņas (TPM)  vai oglekļa oksīda CO samazināšanu vērsta attiecīgā darbība, vienlaikus, katrā projektā tiek paredzēta vismaz uz daļiņas PM2,5 samazināšanu vērsta attiecīgā 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punkta pirmajā daļā dzēšot PM2,5, jo par to tiek norādīts punkta otrajā 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vismaz uz kādu gaisu piesārņojošu vielu PM10, benz(a)pirēna, benzola, slāpekļa dioksīda NO2, kopējās cietās daļiņas (TPM)  vai oglekļa oksīda CO samazināšanu vērsta attiecīgā darbība, vienlaikus, katrā projektā tiek paredzēta vismaz uz daļiņas PM2,5 samazināšanu vērsta attiecīgā 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valsts tiešās pārvaldes iestādi, kuras valdījumā vai turējumā ir zeme, kurā neveic saimniecisko darbību un kurā īstenos šo noteikumu </w:t>
            </w:r>
            <w:r w:rsidR="00000000" w:rsidRPr="00000000" w:rsidDel="00000000">
              <w:rPr>
                <w:rtl w:val="0"/>
              </w:rPr>
              <w:t xml:space="preserve">23. </w:t>
            </w:r>
            <w:r w:rsidR="00000000" w:rsidRPr="00000000" w:rsidDel="00000000">
              <w:rPr>
                <w:rtl w:val="0"/>
              </w:rPr>
              <w:t xml:space="preserve">punktā</w:t>
            </w:r>
            <w:r w:rsidR="00000000" w:rsidRPr="00000000" w:rsidDel="00000000">
              <w:rPr>
                <w:rtl w:val="0"/>
              </w:rPr>
              <w:t xml:space="preserve"> 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īpašumtiesību veidu ar īpašumā esošu zemi, saskaņā ar MK noteikumu projekta 19.punktu.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tiešās pārvaldes iestādi, kuras valdījumā vai turējumā, </w:t>
            </w:r>
            <w:r w:rsidR="00000000" w:rsidRPr="00000000" w:rsidDel="00000000">
              <w:rPr>
                <w:b w:val="1"/>
                <w:rtl w:val="0"/>
              </w:rPr>
              <w:t xml:space="preserve">vai īpašumā</w:t>
            </w:r>
            <w:r w:rsidR="00000000" w:rsidRPr="00000000" w:rsidDel="00000000">
              <w:rPr>
                <w:rtl w:val="0"/>
              </w:rPr>
              <w:t xml:space="preserve"> ir zeme, kurā neveic saimniecisko darbību un kurā īstenos šo noteikumu 23. punktā 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Sadarbības partneris – siltumapgādes un (vai) ūdenssaimniecības sabiedrisko pakalpojumu sniedzējs – ar pašvaldību noslēdz pakalpojuma līgumu par siltumapgādes un (vai) ūdenssaimniecības sabiedrisko pakalpojumu sniegšanu. Pakalpojuma līgumā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izsekojamībai, lūdzam papildināt anotāciju ar norādi, vai noteikumu projekta 20.punktā noteiktais pakalpojuma līgums tiek noslēgts ar pašvaldību kā finansējuma saņēmēju. Nepieciešamības gadījumā, lūdzam precizēt minēto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lūdzu precizēt redakciju, lai ietvertu arī tos pakalpojumu līgumus, kas jau ir noslēgti.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partneris – siltumapgādes un (vai) ūdenssaimniecības sabiedrisko pakalpojumu sniedzējs – ar pašvaldību ir noslēdzis pakalpojuma līgumu par siltumapgādes un (vai) ūdenssaimniecības sabiedrisko pakalpojumu sniegšanu. Pakalpojuma līgumā norāda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siltumapgādes un (vai) ūdenssaimniecības sabiedrisko pakalpojumu sniedzējam piešķirtās ekskluzīvās vai īpašās tiesības to būtību norādot ar atbilstošo pašvaldības administratīvo teritoriju vai pašvaldības administratīvās teritorijas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šī punkta redakciju, to salāgojot ar citiem noteikuma projekta punktiem un izsakot, piemēram,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siltumapgādes un (vai) ūdenssaimniecības sabiedrisko pakalpojumu sniedzējam piešķirto ekskluzīvo vai īpašo tiesību būtību, tai skaitā, norādot atbilstošo pašvaldības administratīvo teritoriju vai pašvaldības administratīvās teritorijas daļu un konkrētos sniedzamos siltumapgādes un (vai) ūdenssaimniecības sabiedriskos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iesniedzējs saskaņā ar projektu iesniegumu atlases nolikuma prasībām elektroniski sagatavo projekta iesniegumu un iesniedz to sadarbības iestādē, izmantojot Kohēzijas politikas fondu vadības informācijas sistēmu. Projekta iesniedzējs kopā ar projekta iesniegumu, līdzās citiem atlases nolikumā noteiktajiem dokumentiem, iesniedz projekta ietekmes uz tautsaimniecību novērtējumu, brīvā formā, kas satur vismaz primāri izvēlēto pasākumu atdevi un ietekmi uz galvenajiem ietekmētajiem faktoriem.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21.punktā vārdu "elektroniski", lai nerastos interpretācijas iespējas. Vēršam uzmanību, ka atbilstoši Kohēzijas politikas fondu vadības informācijas sistēmas funkcionalitātei, sistēmā ir iestrādāti projekta iesnieguma datu lauku, kuros tiek norādīta atbilstoša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iespēju apvienot noteikumu projekta 21. un 22. punktu vienā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saskaņā ar projektu iesniegumu atlases nolikuma prasībām sagatavo projekta iesniegumu un iesniedz to sadarbības iestādē, izmantojot Kohēzijas politikas fondu vadības informācijas sistēmu. Projekta iesniedzējs kopā ar projekta iesniegumu, līdzās citiem atlases nolikumā noteiktajiem dokumentiem, 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projekta ietekmes uz tautsaimniecību novērtējumu, brīvā formā, kas satur vismaz primāri izvēlēto pasākumu atdevi un ietekmi uz galvenajiem ietekmētajiem faktoriem;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atbilstoši šo noteikumu 7. punktam- projekta rezultāta rādītāja aprēķinu.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publiskās teritorijas labiekārtošana un ar to saistītie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"funkcionāli saistīto teritoriju", saskaņā ar MK noteikumu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skaidrot, kas ir funkcionāli saistītā teritorija.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teritorijas labiekārtošana un ar to saistītie pasākumi, ietverot “zaļās” un “zilās” infrastruktūras attīstību, apzaļumošanas (piemēram, koku, krūmu un citu daudzgadīgo augu apstādījumi, "zaļās" sienas un salas) un dabā balstītu risinājumu (piemēram, mākslīgas mitraines, caurlaidīgi segumi) izveides un ar to saistītās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anotācijā norādīt detalizētāk, kas ir ar teritorijas labiekārtošanu saistītie pasākumi.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"apzaļumošanas (piemēram, koku, krūmu un citu daudzgadīgo augu apstādījumi, "zaļās" sienas un salas)", jo tas ir ietverts "zaļās" infrastruktūras attīstības pasākumos. Papildus lūdzam MK noteikumu anotācijā skaidrot "zaļās " un "zilās" infrastruktūras pasākumus, ietverot piemērus.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labiekārtošana un ar to saistītie pasākumi, ietverot “zaļās” un “zilās” infrastruktūras attīstību un dabā balstītu risinājumu (piemēram, mākslīgas mitraines, caurlaidīgi segumi) izveides un ar to saistītās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būves nojaukšana un teritorijas attīrīšana;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MK noteikumu anotācijā skaidrot, kāda veida būves nojaukšanas un teritorijas attīrīšanas izmaksas ir attiecināmas un uz kādu teritoriju izmaksas ir attiecināmas (piemēram, uz to teritoriju, kurā rēķina rezultāta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atkritumu šķirošanas tvertņu iegāde un uzstādīšana;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aprakstu, vai noteikumu projekta 25.5. punktā minētās izmaksas nepārklājas ar 2.2.2.2 pasākuma “Atkritumu dalītā vākšana” izmaksām, kur tiek izstrādāta vienkāršoto izmaksu metodika atkritumu dalītās vākšanas konteineru iegādes izmaksu segšanai, un vai tajā plānotās likmes nebūtu piemērojamas arī šajā 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ūdenssaimniecības (dzeramā ūdens ieguves, sagatavošanas un piegādes infrastruktūra, sadzīves notekūdeņu savākšanas, attīrīšanas un novadīšanas infrastruktūra, izņemot dūņu pārstrādi un apsaimniekošanu) un publiski pieejama dzeramā ūdens ieguves vietas (brīvkrāna) ierīkošanai, gaisu mitrinošiem vai citiem pasākumiem, kas nepieciešami projekta mērķa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kā šādas darbības veicina pasākuma mērķa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videi draudzīga apgaismojuma izbūve, tai skaitā inovatīvi apgaismojuma risinājumi, kas ietver atjaunojamos energoresursus izmantojošas enerģiju ražojošas iekārtas, un viedo tehnoloģiju iegāde un uzstādīšana, ievērojot, ka 100 procenti no gadā saražotās enerģijas tiek izmantoti pašpatēriņam;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kā šādas darbības veicina pasākuma mērķa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25.12. mazemisiju un bezemisiju (ja attiecināms) transportlīdzekļu, komunālo mašīnu un (vai) tehnoloģisko iekārtu iegāde ielu tīrīšanai vismaz no putekļu daļiņu piesārņojuma;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attiecināmas ir jebkura mazemisiju un bezemisiju transportlīdzekļa iegādes izmaksas vai tikai mazemisiju un bezemisiju komunālo mašīnu un (vai) tehnoloģisko iekārtu iegāde. Ja paredzēts jebkāda veida mazemisijas un bezemisijas transportlīdzekļu iegāde, lūdzam noteikt ierobežojumus izmanošanas veidam un mērķim, saskaņā ar pasākuma mērķi.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25.16. izmaksas, kas saistītas ar būves nodošanu ekspluatācijā;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kādas izmaksas tiek paredzētas šajā pozīcijā, anotācijā uzskaitot tās vai norādot piemērus.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Polis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25.17. izmaksas, kas saistītas ar mērījumu veikšanu un datu apkopošanu un analīzi projekta ietvarā veikto darbību rezultātu gaisa kvalitātes uzlabošanas pierādīšanai;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šīs izmaksas attiecas uz projekta pamatojošās dokumentācijas sagatavošanas izmaksām, lūdzam apvienot tās ar 25.15.punktā minētajām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25.18. plānošanas dokumentu, pētījumu izstrādāšana vai aktualizācija, ja šo pasākumu vai dokumentu izstrāde ir nepieciešama, lai īstenotu projektā plānotās praktiskās darbības infrastruktūrā gaisu piesārņojošo vielu samazināšanai;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MK noteikumu anotācijā skaidrot, kāda veida plānošanas dokumentu, pētījumu izstrādāšana vai aktualizācija ir attiecināma. Ja šīs izmaksas attiecas uz projekta pamatojošās dokumentācijas sagatavošanas izmaksām, lūdzam apvienot tās ar 25.15.punktā minētajām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25.19. projekta informācijas un publicitātes pasākumu izmaksas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47. pantam un 50. pantam un normatīvajiem aktiem par kārtību, kādā Eiropas Savienības fondu vadībā iesaistītās institūcijas nodrošina šo fondu ieviešanu 2021.–2027. gada plānošanas periodā, nepārsniedzot vienu procentu no projekta kopējām 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svītrot no noteikumu projekta 25.10.apakšpunktā vārdus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47. pantam un 50. pantam un normatīvajiem aktiem par kārtību, kādā Eiropas Savienības fondu vadībā iesaistītās institūcijas nodrošina šo fondu ieviešanu 2021.–2027. gada plānošanas periodā", ņemot vērā, ka minētie normatīvie akti nosaka komunikācijas un vizuālās identitātes prasības, bet ne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Neparedzētie izdevumi nepārsniedz piecus procentus no projekta kopējām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26.punkta redakciju papildināt ar nosacījumu, ka neparedzēto izdevumu izlietošanu finansējuma saņēmējs saskaņo ar sadarbības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Neparedzētie izdevumi nepārsniedz piecus procentus no projekta kopējām attiecināmajām izmaksām un to izlietošanu finansējuma saņēmējs saskaņo ar sadarbības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25.3.</w:t>
            </w:r>
            <w:r w:rsidR="00000000" w:rsidRPr="00000000" w:rsidDel="00000000">
              <w:rPr>
                <w:rtl w:val="0"/>
              </w:rPr>
              <w:t xml:space="preserve"> un </w:t>
            </w:r>
            <w:r w:rsidR="00000000" w:rsidRPr="00000000" w:rsidDel="00000000">
              <w:rPr>
                <w:rtl w:val="0"/>
              </w:rPr>
              <w:t xml:space="preserve">25.7.</w:t>
            </w:r>
            <w:r w:rsidR="00000000" w:rsidRPr="00000000" w:rsidDel="00000000">
              <w:rPr>
                <w:rtl w:val="0"/>
              </w:rPr>
              <w:t xml:space="preserve"> apakšpunktā minētās izmaksas ir attiecināmas, ja pēc ieguldījumu veikšanas elektrotīkli un vājstrāvu tīkli, apgaismes risinājumi, tai skaitā iekārtas, viedās tehnoloģijas, apgaismojuma elementi, videonovērošanas kameras un elektrouzlādes punktu aprīkojums paliek finansējuma saņēmēja īpašumā vismaz piecus gadus pēc projekta noslēguma maksājuma veikšanas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redakciju, jo punkts attiecas arī uz sadarbības partneri - valsts tiešās pārvaldes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25.3. un 25.7. apakšpunktā minētās izmaksas ir attiecināmas, ja pēc ieguldījumu veikšanas elektrotīkli un vājstrāvu tīkli, apgaismes risinājumi, tai skaitā iekārtas, viedās tehnoloģijas, apgaismojuma elementi, videonovērošanas kameras un elektrouzlādes punktu aprīkojums paliek finansējuma saņēmēja </w:t>
            </w:r>
            <w:r w:rsidR="00000000" w:rsidRPr="00000000" w:rsidDel="00000000">
              <w:rPr>
                <w:b w:val="1"/>
                <w:rtl w:val="0"/>
              </w:rPr>
              <w:t xml:space="preserve">un sadarbības partnera</w:t>
            </w:r>
            <w:r w:rsidR="00000000" w:rsidRPr="00000000" w:rsidDel="00000000">
              <w:rPr>
                <w:rtl w:val="0"/>
              </w:rPr>
              <w:t xml:space="preserve"> īpašumā vismaz piecus gadus pēc projekta noslēguma maksājuma veikšanas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Izmaksas ir attiecināmas no šo noteikumu spēkā stāšanās dienas, izņemot projekta pamatojošās dokumentācijas sagatavošanas izmaksas, kas ir attiecināmas, ja tās veiktas pēc 2021.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kas nosaka finanšu plūsmas pirms projekta apstiprināšanas nodrošināšanas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Izmaksas, kas saskaņā ar šiem noteikumiem nav iekļaujamas projektā kā attiecināmās izmaksas, ir finansējamas ārpus projekta par finansējuma saņēmēja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dzēst šo punktu, jo 24.punktā noteikts, ka plāno tikai attiecināmās izmaksas.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Ja attiecināms, projekta ietvaros, veicot iepirkumus, nodrošina vides prasību integrāciju preču, pakalpojumu un būvdarbu iepirkumos (zaļais publiskais iepirkums), kā arī izvērtē sociāli atbildīga publiskā iepirkuma nosacījumu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38.punktu, norādot personu, kura attiecīgo pienākumu veiks.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nodrošina regulas Nr. 2021/1060 47. un 50. pantā noteiktos informācijas un publicitātes pasākumus saskaņā ar kārtību, kādā Eiropas Savienības fondu vadībā iesaistītās institūcijas nodrošina šo fondu ieviešanu 2021.–2027. gada plānošanas periodā, un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 terminoloģijas lietošanu attiecībā uz komunikācijas un vizuālās identitātes pasākumiem visos Eiropas Savienības tiesību aktos, kā arī nodrošinātu vienotu atsauci uz normatīviem aktiem, kas nodrošina attiecīgo prasību piemērošanu, lūdzam izteikt noteikumu projekta 41.1.apakšpunktu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komunikācijas un vizuālās identitātes pasākumus saskaņā ar Regulas Nr.2021/1060 47. un 50. pantu un normatīvajiem aktiem, kas nosaka kārtību, kādā Eiropas Savienības fondu vadībā iesaistītās institūcijas nodrošina šo fondu ieviešanu 2021.–2027.gada plānošanas periodā, kā arī ievēro Eiropas Savienības fondu 2021.–2027. gada plānošanas perioda un Atveseļošanas fonda komunikācijas un dizaina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nodrošina komunikācijas un vizuālās identitātes pasākumus saskaņā ar Regulas Nr.2021/1060 47. un 50. pantu un normatīvajiem aktiem, kas nosaka kārtību, kādā Eiropas Savienības fondu vadībā iesaistītās institūcijas nodrošina šo fondu ieviešanu 2021.–2027.gada plānošanas periodā, kā arī ievēro Eiropas Savienības fondu 2021.–2027. gada plānošanas perioda un Atveseļošanas fonda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projekta izmaksu pieaugumu sedz no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dzēst, jo dublējas ar 34.punktā norādīto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sadarbības iestādei ir pieejami valsts budžeta līdzekļi, tā, izvērtējot plānotā avansa apmēru un tā pamatojumu un pamatojoties uz finansējuma saņēmēja rakstisku avansa pieprasījumu, pēc vienošanās par projekta īstenošanu noslēgšanas var piešķirt finansējuma saņēmējam avansu.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50 procentiem no projektam piešķirtā Eiropas Reģionālās attīstības fonda un līdzfinansējuma kopsummas, ievērojot, ka avansu var izmaksāt vairākos maksājumos un avansa un starpposma maksājumu kopsumma nepārsniedz 90 procentus no projektam piešķirtā Eiropas Reģionālās attīstības fonda un pašvaldības budžeta 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42.punktā vārdus "un pašvaldības budžeta finansējuma kopsummas". Vēršam uzmanību, ka saskaņā ar Ministru kabineta 2023.gada 25.aprīļa noteikumu Nr.205 "Valsts budžeta līdzekļu plānošanas kārtība Eiropas Savienības fondu projektu īstenošanai un maksājumu veikšanai 2021.– 2027. gada plānošanas periodā" nosacījumiem, avansa un starpposma maksājuma kopsummu veido attiecīgais Eiropas Savienības fonds un </w:t>
            </w:r>
            <w:r w:rsidR="00000000" w:rsidRPr="00000000" w:rsidDel="00000000">
              <w:rPr>
                <w:u w:val="single"/>
                <w:rtl w:val="0"/>
              </w:rPr>
              <w:t xml:space="preserve">valsts budžeta kopsumma.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Pasākuma ietvaros netiek atbalstītas darbības, kurām sniegtais atbalsts ir kvalificējams kā komercdarbības atbalsts, izņemot komercdarbības atbalstu siltumapgādes un (vai) ūdenssaimniecības sabiedrisko pakalpojumu sniedzējam. Ja ar saimniecisko darbību nesaistīts projekts, kura attiecināmās izmaksas atbilst jebkurām šo noteikumu </w:t>
            </w:r>
            <w:r w:rsidR="00000000" w:rsidRPr="00000000" w:rsidDel="00000000">
              <w:rPr>
                <w:rtl w:val="0"/>
              </w:rPr>
              <w:t xml:space="preserve">25.</w:t>
            </w:r>
            <w:r w:rsidR="00000000" w:rsidRPr="00000000" w:rsidDel="00000000">
              <w:rPr>
                <w:rtl w:val="0"/>
              </w:rPr>
              <w:t xml:space="preserve"> punktā minētajām izmaksām, tā ieviešanas gaitā vai uzraudzības periodā pēc tā pabeigšanas kļūst par projektu, kas saistīts ar saimniecisku darbību, kurai sniegtais atbalsts būtu kvalificējams kā komercdarbības atbalsts, finansējuma saņēmējs no finansējuma, par kuru nav saņemts nekāds komercdarbības atbalsts, atmaksā sadarbības iestādei visu nelikumīgi saņemto atbalstu kopā ar procentiem saskaņā ar Komercdarbības atbalsta kontroles likuma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noteikumu projekta 43.punkta otro teikumu kā jaunu punktu, ņemot vērā, ka tiek noteikts nosacījums, ja projekts tā īstenošanas laikā kļūs par projektu, kas saistīts ar saimniecisku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Projekta iesniedzējs un sadarbības partneris (ja attiecināms) īstenojot šo noteikumu </w:t>
            </w:r>
            <w:r w:rsidR="00000000" w:rsidRPr="00000000" w:rsidDel="00000000">
              <w:rPr>
                <w:rtl w:val="0"/>
              </w:rPr>
              <w:t xml:space="preserve">23.</w:t>
            </w:r>
            <w:r w:rsidR="00000000" w:rsidRPr="00000000" w:rsidDel="00000000">
              <w:rPr>
                <w:rtl w:val="0"/>
              </w:rPr>
              <w:t xml:space="preserve"> punktā atbalstāmās darbības nodrošina siltumapgādes un (vai) ūdenssaimniecības sistēmas (ja attiecināms) un projekta rezultātu ilgtspēju nodrošinot sasniegto rezultātu uzturēšanu līdz pilnvarojuma līguma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48.punktu, izslēdzot teikuma daļu “un projekta rezultātu ilgtspēju nodrošinot sasniegto rezultātu”, tādējādi nodrošinot skaidru izpratni kāds periods attiecas uz projekta rezultātu ilgtspējas nodrošināšanu un kāds periods ir attiecināms uz VTNP infrastruktūras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un sadarbības partneris (ja attiecināms) īstenojot šo noteikumu 23. punktā atbalstāmās darbības nodrošina siltumapgādes un (vai) ūdenssaimniecības sistēmas (ja attiecināms) uzturēšanu līdz pilnvarojuma līguma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pasākumā plānotajiem intervences kodiem, tādējādi nodrošinot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1.3.apakšnodaļas sadaļā "Risinājuma apraksts" norādīt pilno Atjaunojamo energoresursu direktīvas nosaukumu un pieņemšanas datumu, kā arī pilno Eiropas Parlamenta un Padomes Direktīvas 2012/27/ES nosaukumu un pieņemšanas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teikumu "Noteikumu projekta ietvaros elektroenerģijas un ūdenssaimniecības pieslēgumu ierīkošana un to saistītās jaudas palielināšana nav paredzētas kā atbalstāmās darbības, izņemot, ja tās saistītas ar publiski pieejama dzeramā ūdens ieguves vietas ierīkošanu vai citiem pasākumiem, kas nepieciešami projekta mērķa sasniegšanai, piemēram ūdeni izmantojošus putekļu samazinošiem risinājumiem" papildināt atbilstoši MK noteikumu projektā plānotajām atbalstāmajām darbībām "publiski pieejama dzeramā ūdens ieguves vietas (brīvkrāna) ierīkošanu, gaisu mitrinošiem vai citiem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izvērstāk skaidrot rezultāta rādītāju aprēķinu, t.sk., vai teritorijas labiekārtošanas gadījumā teritorijai vai funkcionāli saistītajai teritorijai visos gadījumos ir jābūt vienādai vai lielākai par 5 ha; vai aprēķins piemērojams tikai uz minētajām darbībām, vai arī uz citām MK noteikumu projekta 23. un 25. punktā minētajām darbībām un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labot tehniskās neprecizitātes: "reizinot ar 6,28 kvadrātkilometriem" aizstājot ar "reizinot ar 6,25 kvadrātkilometriem"; "(1000x0,13=6250)" aizstājot ar "(1000x0,13=130)";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skaidrot, vai pasākuma ietvaros ir atbalstāma jebkuras pašvaldības ēkas (neatkarīgi no funkcijas vai lietojuma mērķa) pieslēgšana siltumapgādes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skaidrot, kas pasākuma ietvaros ir "kādi lokāli (punktveida) pasākumi teritorijā, kas nav viens mikrorajons";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skaidrot vai pasākuma ietvaros būs atbalstāma jebkādu mazemisiju un bezemisiju transportlīdzekļu iegāde;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skaidrot lietoto terminu "zemo emisiju zonas", t.sk. norādot piemērus;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lūdzam papildināt rindkopu "[..] Noteikumu projekts paredz, ka finansējuma saņēmējs nodrošina interešu konflikta neesamību saskaņā ar [..]"  norādot, ka minētā norma attiecas arī uz projekta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neierobežotu siltumapgādes un ūdenssaimniecības pieslēgumu ierīkošanu gadījumos, kad zeme zem plānotajām inženierkomunikācijām nav projekta iesniedzēja vai sadarbības partnera īpašums, lūdzam papildināt ar skaidrojumu "Gadījumos, kad sabiedriskā pakalpojuma sniegšanai nepieciešamie inženiertīkli (ūdenssaimniecības un siltumapgādes tīkli) tiek izbūvēti pa ne projekta iesniedzējam vai sadarbības partnerim piederošu zemes īpašumu, to izbūvi veic, ievērojot būvnormatīvos noteiktās prasības un līdz noslēguma maksājuma veikšanai izbūvētos inženiertīklus kā zemes īpašuma apgrūtinājumu reģistrē Nekustamā īpašuma valsts kadastra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Ozola-Tīruma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