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16B" w:rsidRPr="00661C8F" w:rsidRDefault="000F716B" w:rsidP="00661C8F">
      <w:pPr>
        <w:spacing w:after="0" w:line="240" w:lineRule="auto"/>
        <w:jc w:val="right"/>
        <w:rPr>
          <w:b/>
        </w:rPr>
      </w:pPr>
    </w:p>
    <w:p w:rsidR="00104688" w:rsidRPr="00661C8F" w:rsidRDefault="00104688" w:rsidP="00661C8F">
      <w:pPr>
        <w:spacing w:after="0" w:line="240" w:lineRule="auto"/>
        <w:jc w:val="right"/>
        <w:rPr>
          <w:b/>
        </w:rPr>
      </w:pPr>
    </w:p>
    <w:p w:rsidR="007A2264" w:rsidRPr="00661C8F" w:rsidRDefault="00E342C6" w:rsidP="00661C8F">
      <w:pPr>
        <w:spacing w:after="0" w:line="240" w:lineRule="auto"/>
        <w:jc w:val="right"/>
        <w:rPr>
          <w:b/>
        </w:rPr>
      </w:pPr>
      <w:r w:rsidRPr="00661C8F">
        <w:rPr>
          <w:b/>
          <w:noProof/>
        </w:rPr>
        <w:t>Finanšu ministrija</w:t>
      </w:r>
      <w:r>
        <w:rPr>
          <w:b/>
          <w:noProof/>
        </w:rPr>
        <w:t>i</w:t>
      </w:r>
    </w:p>
    <w:p w:rsidR="00104688" w:rsidRPr="00661C8F" w:rsidRDefault="00104688" w:rsidP="00661C8F">
      <w:pPr>
        <w:spacing w:after="0" w:line="240" w:lineRule="auto"/>
        <w:jc w:val="right"/>
        <w:rPr>
          <w:b/>
        </w:rPr>
      </w:pPr>
    </w:p>
    <w:p w:rsidR="00104688" w:rsidRPr="00661C8F" w:rsidRDefault="00104688" w:rsidP="00661C8F">
      <w:pPr>
        <w:spacing w:after="0" w:line="240" w:lineRule="auto"/>
        <w:jc w:val="right"/>
        <w:rPr>
          <w:b/>
        </w:rPr>
      </w:pPr>
    </w:p>
    <w:p w:rsidR="002005E2" w:rsidRDefault="00E342C6" w:rsidP="00661C8F">
      <w:pPr>
        <w:spacing w:after="0" w:line="240" w:lineRule="auto"/>
        <w:jc w:val="both"/>
        <w:rPr>
          <w:i/>
          <w:noProof/>
        </w:rPr>
      </w:pPr>
      <w:r>
        <w:rPr>
          <w:i/>
          <w:noProof/>
        </w:rPr>
        <w:t xml:space="preserve">Par </w:t>
      </w:r>
      <w:r w:rsidR="002F4357">
        <w:rPr>
          <w:i/>
          <w:noProof/>
        </w:rPr>
        <w:t>l</w:t>
      </w:r>
      <w:r w:rsidRPr="00661C8F">
        <w:rPr>
          <w:i/>
          <w:noProof/>
        </w:rPr>
        <w:t>ikumprojekt</w:t>
      </w:r>
      <w:r>
        <w:rPr>
          <w:i/>
          <w:noProof/>
        </w:rPr>
        <w:t>u</w:t>
      </w:r>
      <w:r w:rsidRPr="00661C8F">
        <w:rPr>
          <w:i/>
          <w:noProof/>
        </w:rPr>
        <w:t xml:space="preserve"> </w:t>
      </w:r>
    </w:p>
    <w:p w:rsidR="002005E2" w:rsidRDefault="00E342C6" w:rsidP="00661C8F">
      <w:pPr>
        <w:spacing w:after="0" w:line="240" w:lineRule="auto"/>
        <w:jc w:val="both"/>
        <w:rPr>
          <w:i/>
          <w:noProof/>
        </w:rPr>
      </w:pPr>
      <w:r>
        <w:rPr>
          <w:i/>
          <w:noProof/>
        </w:rPr>
        <w:t>“</w:t>
      </w:r>
      <w:r w:rsidR="00625B5E">
        <w:rPr>
          <w:i/>
          <w:noProof/>
        </w:rPr>
        <w:t xml:space="preserve">Grozījumi Pievienotās vērtības </w:t>
      </w:r>
    </w:p>
    <w:p w:rsidR="007A2264" w:rsidRPr="00661C8F" w:rsidRDefault="00E342C6" w:rsidP="00661C8F">
      <w:pPr>
        <w:spacing w:after="0" w:line="240" w:lineRule="auto"/>
        <w:jc w:val="both"/>
        <w:rPr>
          <w:i/>
          <w:noProof/>
        </w:rPr>
      </w:pPr>
      <w:r>
        <w:rPr>
          <w:i/>
          <w:noProof/>
        </w:rPr>
        <w:t>nodokļa likumā</w:t>
      </w:r>
      <w:r w:rsidR="002F4357">
        <w:rPr>
          <w:i/>
          <w:noProof/>
        </w:rPr>
        <w:t>”</w:t>
      </w:r>
      <w:r>
        <w:rPr>
          <w:i/>
          <w:noProof/>
        </w:rPr>
        <w:t xml:space="preserve"> VSS-448</w:t>
      </w:r>
    </w:p>
    <w:p w:rsidR="00104688" w:rsidRPr="00661C8F" w:rsidRDefault="00104688" w:rsidP="00661C8F">
      <w:pPr>
        <w:spacing w:after="0" w:line="240" w:lineRule="auto"/>
        <w:jc w:val="both"/>
        <w:rPr>
          <w:i/>
        </w:rPr>
      </w:pPr>
    </w:p>
    <w:p w:rsidR="007A1D16" w:rsidRPr="00E0254D" w:rsidRDefault="00E342C6" w:rsidP="007A1D16">
      <w:pPr>
        <w:spacing w:after="0" w:line="240" w:lineRule="auto"/>
        <w:jc w:val="both"/>
        <w:rPr>
          <w:i/>
          <w:noProof/>
        </w:rPr>
      </w:pPr>
      <w:r>
        <w:rPr>
          <w:color w:val="000000"/>
        </w:rPr>
        <w:t xml:space="preserve">             </w:t>
      </w:r>
      <w:bookmarkStart w:id="0" w:name="_GoBack"/>
      <w:r>
        <w:rPr>
          <w:color w:val="000000"/>
        </w:rPr>
        <w:t xml:space="preserve">Aizsardzības ministrija </w:t>
      </w:r>
      <w:r>
        <w:t xml:space="preserve">savas kompetences ietvaros </w:t>
      </w:r>
      <w:r>
        <w:rPr>
          <w:color w:val="000000"/>
        </w:rPr>
        <w:t>ir</w:t>
      </w:r>
      <w:r>
        <w:t xml:space="preserve"> izvērtējusi Finanšu ministrijas  </w:t>
      </w:r>
      <w:r w:rsidR="002F4357">
        <w:t>l</w:t>
      </w:r>
      <w:r>
        <w:t xml:space="preserve">ikumprojektu  </w:t>
      </w:r>
      <w:r w:rsidRPr="00E0254D">
        <w:t>“</w:t>
      </w:r>
      <w:r>
        <w:t>Grozījumi Pievienotās vērtības nodokļa</w:t>
      </w:r>
      <w:r>
        <w:t xml:space="preserve"> likumā</w:t>
      </w:r>
      <w:r w:rsidRPr="00E0254D">
        <w:t>”</w:t>
      </w:r>
      <w:r>
        <w:t xml:space="preserve"> (VSS-448; turpmāk - likumprojekts)</w:t>
      </w:r>
      <w:r>
        <w:rPr>
          <w:bCs/>
          <w:color w:val="000000"/>
        </w:rPr>
        <w:t xml:space="preserve">, kā arī to sākotnējās </w:t>
      </w:r>
      <w:r>
        <w:t xml:space="preserve">ietekmes novērtējuma ziņojumu (anotāciju) un informē, ka izvirza šādus iebildumus: </w:t>
      </w:r>
    </w:p>
    <w:p w:rsidR="007A1D16" w:rsidRDefault="00E342C6" w:rsidP="007A1D16">
      <w:pPr>
        <w:pStyle w:val="ListParagraph"/>
        <w:numPr>
          <w:ilvl w:val="0"/>
          <w:numId w:val="12"/>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Par </w:t>
      </w:r>
      <w:r w:rsidRPr="00DF4642">
        <w:rPr>
          <w:rFonts w:ascii="Times New Roman" w:hAnsi="Times New Roman" w:cs="Times New Roman"/>
          <w:sz w:val="24"/>
          <w:szCs w:val="24"/>
        </w:rPr>
        <w:t xml:space="preserve">Pievienotās vērtības nodokļa likuma (turpmāk – likums) </w:t>
      </w:r>
      <w:r>
        <w:rPr>
          <w:rFonts w:ascii="Times New Roman" w:hAnsi="Times New Roman" w:cs="Times New Roman"/>
          <w:sz w:val="24"/>
          <w:szCs w:val="24"/>
        </w:rPr>
        <w:t xml:space="preserve">50. panta otrās daļas un 53. panta septītās daļas 4. punkta izteikšanu jaunā redakcijā un 53. panta septītās daļas papildināšanu ar jaunu 6. punktu: </w:t>
      </w:r>
    </w:p>
    <w:p w:rsidR="007A1D16" w:rsidRDefault="00E342C6" w:rsidP="007A1D16">
      <w:pPr>
        <w:spacing w:after="60" w:line="240" w:lineRule="auto"/>
        <w:ind w:firstLine="851"/>
        <w:jc w:val="both"/>
      </w:pPr>
      <w:r>
        <w:t>Tā kā MK noteikumos Nr.908</w:t>
      </w:r>
      <w:r>
        <w:rPr>
          <w:vertAlign w:val="superscript"/>
        </w:rPr>
        <w:footnoteReference w:id="1"/>
      </w:r>
      <w:r>
        <w:t xml:space="preserve"> ir paredzētas atmaksas gan NATO </w:t>
      </w:r>
      <w:r w:rsidRPr="00AC16EC">
        <w:t>da</w:t>
      </w:r>
      <w:r>
        <w:t>lībvalstu bruņoto spēku vienībām</w:t>
      </w:r>
      <w:r w:rsidRPr="00AC16EC">
        <w:t>, kuras uztu</w:t>
      </w:r>
      <w:r w:rsidRPr="00AC16EC">
        <w:t>ras iekšzemē</w:t>
      </w:r>
      <w:r>
        <w:t xml:space="preserve"> (ilgtermiņa</w:t>
      </w:r>
      <w:r w:rsidRPr="00AC16EC">
        <w:t>), gan NATO da</w:t>
      </w:r>
      <w:r>
        <w:t>lībvalstu bruņoto spēku vienībām</w:t>
      </w:r>
      <w:r w:rsidRPr="00AC16EC">
        <w:t xml:space="preserve">, kuras ierodas Latvijas Republikā </w:t>
      </w:r>
      <w:r>
        <w:t xml:space="preserve">(īstermiņa) </w:t>
      </w:r>
      <w:r w:rsidRPr="00AC16EC">
        <w:t>uz kopējo aizsardzības pa</w:t>
      </w:r>
      <w:r w:rsidRPr="00AC16EC">
        <w:lastRenderedPageBreak/>
        <w:t>sākum</w:t>
      </w:r>
      <w:r>
        <w:t>u</w:t>
      </w:r>
      <w:r w:rsidRPr="00AC16EC">
        <w:t xml:space="preserve"> iekšzemē</w:t>
      </w:r>
      <w:r>
        <w:t>, kā arī, ievērojot, ka Direktīvas 2019/2235 mērķis ir saskaņot PVN un akcīzes nodokļa režīmu, ko p</w:t>
      </w:r>
      <w:r>
        <w:t xml:space="preserve">iemēro aizsardzības pasākumiem Savienības un NATO satvarā, ka termins “kopējais aizsardzības pasākums” Direktīvā 2008/118/EK izmantots saistībā ar NATO aizsardzības pasākumiem, lūdzam: </w:t>
      </w:r>
    </w:p>
    <w:p w:rsidR="007A1D16" w:rsidRPr="00773051" w:rsidRDefault="00E342C6" w:rsidP="007A1D16">
      <w:pPr>
        <w:pStyle w:val="ListParagraph"/>
        <w:numPr>
          <w:ilvl w:val="0"/>
          <w:numId w:val="16"/>
        </w:numPr>
        <w:spacing w:after="60" w:line="240" w:lineRule="auto"/>
        <w:ind w:left="714" w:hanging="357"/>
        <w:contextualSpacing w:val="0"/>
        <w:jc w:val="both"/>
        <w:rPr>
          <w:rFonts w:ascii="Times New Roman" w:hAnsi="Times New Roman" w:cs="Times New Roman"/>
          <w:sz w:val="24"/>
          <w:szCs w:val="24"/>
        </w:rPr>
      </w:pPr>
      <w:r w:rsidRPr="00773051">
        <w:rPr>
          <w:rFonts w:ascii="Times New Roman" w:hAnsi="Times New Roman" w:cs="Times New Roman"/>
          <w:sz w:val="24"/>
          <w:szCs w:val="24"/>
        </w:rPr>
        <w:t>izteikt likuma 50.</w:t>
      </w:r>
      <w:r>
        <w:rPr>
          <w:rFonts w:ascii="Times New Roman" w:hAnsi="Times New Roman" w:cs="Times New Roman"/>
          <w:sz w:val="24"/>
          <w:szCs w:val="24"/>
        </w:rPr>
        <w:t> </w:t>
      </w:r>
      <w:r w:rsidRPr="00773051">
        <w:rPr>
          <w:rFonts w:ascii="Times New Roman" w:hAnsi="Times New Roman" w:cs="Times New Roman"/>
          <w:sz w:val="24"/>
          <w:szCs w:val="24"/>
        </w:rPr>
        <w:t xml:space="preserve">panta otro daļu šādā redakcijā: </w:t>
      </w:r>
    </w:p>
    <w:p w:rsidR="007A1D16" w:rsidRPr="001E2FA0" w:rsidRDefault="00E342C6" w:rsidP="007A1D16">
      <w:pPr>
        <w:ind w:firstLine="709"/>
        <w:jc w:val="both"/>
        <w:rPr>
          <w:shd w:val="clear" w:color="auto" w:fill="FFFFFF"/>
        </w:rPr>
      </w:pPr>
      <w:r w:rsidRPr="001E2FA0">
        <w:t>“(2) </w:t>
      </w:r>
      <w:r w:rsidRPr="001E2FA0">
        <w:rPr>
          <w:shd w:val="clear" w:color="auto" w:fill="FFFFFF"/>
        </w:rPr>
        <w:t>Nodokļa 0 pro</w:t>
      </w:r>
      <w:r w:rsidRPr="001E2FA0">
        <w:rPr>
          <w:shd w:val="clear" w:color="auto" w:fill="FFFFFF"/>
        </w:rPr>
        <w:t>centu likmi piemēro netieši, atmaksājot samaksāto nodokli, preču piegādēm un pakalpojumiem, kas iekšzemē sniegti:</w:t>
      </w:r>
    </w:p>
    <w:p w:rsidR="007A1D16" w:rsidRPr="001E2FA0" w:rsidRDefault="00E342C6" w:rsidP="007A1D16">
      <w:pPr>
        <w:pStyle w:val="ListParagraph"/>
        <w:numPr>
          <w:ilvl w:val="0"/>
          <w:numId w:val="14"/>
        </w:numPr>
        <w:spacing w:after="0" w:line="240" w:lineRule="auto"/>
        <w:jc w:val="both"/>
        <w:rPr>
          <w:rFonts w:ascii="Times New Roman" w:hAnsi="Times New Roman" w:cs="Times New Roman"/>
          <w:sz w:val="24"/>
          <w:szCs w:val="24"/>
          <w:shd w:val="clear" w:color="auto" w:fill="FFFFFF"/>
        </w:rPr>
      </w:pPr>
      <w:r w:rsidRPr="001E2FA0">
        <w:rPr>
          <w:rFonts w:ascii="Times New Roman" w:hAnsi="Times New Roman" w:cs="Times New Roman"/>
          <w:sz w:val="24"/>
          <w:szCs w:val="24"/>
          <w:shd w:val="clear" w:color="auto" w:fill="FFFFFF"/>
        </w:rPr>
        <w:t xml:space="preserve">Ziemeļatlantijas līguma organizācijas (NATO) dalībvalstu bruņoto spēku vienībām, kas </w:t>
      </w:r>
      <w:r>
        <w:rPr>
          <w:rFonts w:ascii="Times New Roman" w:hAnsi="Times New Roman" w:cs="Times New Roman"/>
          <w:sz w:val="24"/>
          <w:szCs w:val="24"/>
          <w:shd w:val="clear" w:color="auto" w:fill="FFFFFF"/>
        </w:rPr>
        <w:t xml:space="preserve">uzturas Latvijas Republikas teritorijā, piedaloties kopējā NATO dalībvalstu aizsardzības pasākumā, vai </w:t>
      </w:r>
      <w:r w:rsidRPr="001E2FA0">
        <w:rPr>
          <w:rFonts w:ascii="Times New Roman" w:hAnsi="Times New Roman" w:cs="Times New Roman"/>
          <w:sz w:val="24"/>
          <w:szCs w:val="24"/>
          <w:shd w:val="clear" w:color="auto" w:fill="FFFFFF"/>
        </w:rPr>
        <w:t xml:space="preserve">ierodas uz kopējo NATO </w:t>
      </w:r>
      <w:r w:rsidRPr="00FA1F67">
        <w:rPr>
          <w:rFonts w:ascii="Times New Roman" w:hAnsi="Times New Roman" w:cs="Times New Roman"/>
          <w:sz w:val="24"/>
          <w:szCs w:val="24"/>
          <w:shd w:val="clear" w:color="auto" w:fill="FFFFFF"/>
        </w:rPr>
        <w:t>dalībvalstu</w:t>
      </w:r>
      <w:r w:rsidRPr="001E2FA0">
        <w:rPr>
          <w:rFonts w:ascii="Times New Roman" w:hAnsi="Times New Roman" w:cs="Times New Roman"/>
          <w:sz w:val="24"/>
          <w:szCs w:val="24"/>
          <w:shd w:val="clear" w:color="auto" w:fill="FFFFFF"/>
        </w:rPr>
        <w:t xml:space="preserve"> aizsardzības pasākumu Latvijas Republikas teritorijā (izņemot Latvijas Republikas Nacionālos bruņotos spēkus), tai ska</w:t>
      </w:r>
      <w:r w:rsidRPr="001E2FA0">
        <w:rPr>
          <w:rFonts w:ascii="Times New Roman" w:hAnsi="Times New Roman" w:cs="Times New Roman"/>
          <w:sz w:val="24"/>
          <w:szCs w:val="24"/>
          <w:shd w:val="clear" w:color="auto" w:fill="FFFFFF"/>
        </w:rPr>
        <w:t>itā pavadošā civilā personāla vajadzībām vai šo bruņoto spēku vienību virtuves vai ēdnīcas apgādei;</w:t>
      </w:r>
    </w:p>
    <w:p w:rsidR="007A1D16" w:rsidRPr="00A67357" w:rsidRDefault="00E342C6" w:rsidP="007A1D16">
      <w:pPr>
        <w:pStyle w:val="ListParagraph"/>
        <w:numPr>
          <w:ilvl w:val="0"/>
          <w:numId w:val="14"/>
        </w:numPr>
        <w:spacing w:after="0" w:line="240" w:lineRule="auto"/>
        <w:jc w:val="both"/>
        <w:rPr>
          <w:rFonts w:ascii="Times New Roman" w:hAnsi="Times New Roman" w:cs="Times New Roman"/>
          <w:sz w:val="24"/>
          <w:szCs w:val="24"/>
          <w:shd w:val="clear" w:color="auto" w:fill="FFFFFF"/>
        </w:rPr>
      </w:pPr>
      <w:r w:rsidRPr="001E2FA0">
        <w:rPr>
          <w:rFonts w:ascii="Times New Roman" w:hAnsi="Times New Roman" w:cs="Times New Roman"/>
          <w:sz w:val="24"/>
          <w:szCs w:val="24"/>
          <w:shd w:val="clear" w:color="auto" w:fill="FFFFFF"/>
        </w:rPr>
        <w:t>citu</w:t>
      </w:r>
      <w:r w:rsidRPr="001E2FA0">
        <w:rPr>
          <w:rFonts w:ascii="Times New Roman" w:hAnsi="Times New Roman" w:cs="Times New Roman"/>
          <w:sz w:val="24"/>
          <w:szCs w:val="24"/>
        </w:rPr>
        <w:t xml:space="preserve"> dalībvalstu bruņoto spēku vienībām, kas </w:t>
      </w:r>
      <w:r>
        <w:rPr>
          <w:rFonts w:ascii="Times New Roman" w:hAnsi="Times New Roman" w:cs="Times New Roman"/>
          <w:sz w:val="24"/>
          <w:szCs w:val="24"/>
          <w:shd w:val="clear" w:color="auto" w:fill="FFFFFF"/>
        </w:rPr>
        <w:t xml:space="preserve">uzturas Latvijas Republikas teritorijā, piedaloties aizsardzības pasākumā, vai </w:t>
      </w:r>
      <w:r w:rsidRPr="001E2FA0">
        <w:rPr>
          <w:rFonts w:ascii="Times New Roman" w:hAnsi="Times New Roman" w:cs="Times New Roman"/>
          <w:sz w:val="24"/>
          <w:szCs w:val="24"/>
        </w:rPr>
        <w:t xml:space="preserve">ierodas uz </w:t>
      </w:r>
      <w:r w:rsidRPr="001E2FA0">
        <w:rPr>
          <w:rFonts w:ascii="Times New Roman" w:hAnsi="Times New Roman" w:cs="Times New Roman"/>
          <w:sz w:val="24"/>
          <w:szCs w:val="24"/>
          <w:shd w:val="clear" w:color="auto" w:fill="FFFFFF"/>
        </w:rPr>
        <w:t>aizsardzības</w:t>
      </w:r>
      <w:r w:rsidRPr="001E2FA0">
        <w:rPr>
          <w:rFonts w:ascii="Times New Roman" w:hAnsi="Times New Roman" w:cs="Times New Roman"/>
          <w:sz w:val="24"/>
          <w:szCs w:val="24"/>
        </w:rPr>
        <w:t xml:space="preserve"> pasākumu Latvijas Republikas teritorijā </w:t>
      </w:r>
      <w:r w:rsidRPr="001E2FA0">
        <w:rPr>
          <w:rFonts w:ascii="Times New Roman" w:hAnsi="Times New Roman" w:cs="Times New Roman"/>
          <w:sz w:val="24"/>
          <w:szCs w:val="24"/>
          <w:shd w:val="clear" w:color="auto" w:fill="FFFFFF"/>
        </w:rPr>
        <w:t>(izņemot Latvijas Republikas Nacionālos bruņotos spēkus)</w:t>
      </w:r>
      <w:r w:rsidRPr="001E2FA0">
        <w:rPr>
          <w:rFonts w:ascii="Times New Roman" w:hAnsi="Times New Roman" w:cs="Times New Roman"/>
          <w:sz w:val="24"/>
          <w:szCs w:val="24"/>
        </w:rPr>
        <w:t xml:space="preserve">, ko veic, lai īstenotu Eiropas Savienības darbību saskaņā ar kopējo drošības un aizsardzības politiku, tai skaitā pavadošā civilā personāla vajadzībām vai šo </w:t>
      </w:r>
      <w:r w:rsidRPr="001E2FA0">
        <w:rPr>
          <w:rFonts w:ascii="Times New Roman" w:hAnsi="Times New Roman" w:cs="Times New Roman"/>
          <w:sz w:val="24"/>
          <w:szCs w:val="24"/>
        </w:rPr>
        <w:t>bruņoto spēku vienību virtuves vai ēdnīcas apgādei.”</w:t>
      </w:r>
    </w:p>
    <w:p w:rsidR="007A1D16" w:rsidRPr="00661D7C" w:rsidRDefault="00E342C6" w:rsidP="007A1D16">
      <w:pPr>
        <w:pStyle w:val="ListParagraph"/>
        <w:numPr>
          <w:ilvl w:val="0"/>
          <w:numId w:val="16"/>
        </w:numPr>
        <w:spacing w:before="120" w:after="6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izteikt likuma 53. panta </w:t>
      </w:r>
      <w:r w:rsidRPr="00773051">
        <w:rPr>
          <w:rFonts w:ascii="Times New Roman" w:hAnsi="Times New Roman" w:cs="Times New Roman"/>
          <w:sz w:val="24"/>
          <w:szCs w:val="24"/>
        </w:rPr>
        <w:t>septītās daļas 4.</w:t>
      </w:r>
      <w:r>
        <w:rPr>
          <w:rFonts w:ascii="Times New Roman" w:hAnsi="Times New Roman" w:cs="Times New Roman"/>
          <w:sz w:val="24"/>
          <w:szCs w:val="24"/>
        </w:rPr>
        <w:t> </w:t>
      </w:r>
      <w:r w:rsidRPr="00773051">
        <w:rPr>
          <w:rFonts w:ascii="Times New Roman" w:hAnsi="Times New Roman" w:cs="Times New Roman"/>
          <w:sz w:val="24"/>
          <w:szCs w:val="24"/>
        </w:rPr>
        <w:t xml:space="preserve">punktu </w:t>
      </w:r>
      <w:r>
        <w:rPr>
          <w:rFonts w:ascii="Times New Roman" w:hAnsi="Times New Roman" w:cs="Times New Roman"/>
          <w:sz w:val="24"/>
          <w:szCs w:val="24"/>
        </w:rPr>
        <w:t>šādā redakcijā</w:t>
      </w:r>
      <w:r w:rsidRPr="0077305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A1D16" w:rsidRPr="00773051" w:rsidRDefault="00E342C6" w:rsidP="007A1D16">
      <w:pPr>
        <w:pStyle w:val="Default"/>
        <w:shd w:val="clear" w:color="auto" w:fill="FFFFFF"/>
        <w:tabs>
          <w:tab w:val="left" w:pos="1134"/>
        </w:tabs>
        <w:ind w:firstLine="709"/>
        <w:jc w:val="both"/>
        <w:rPr>
          <w:rFonts w:ascii="Times New Roman" w:hAnsi="Times New Roman" w:cs="Times New Roman"/>
          <w:color w:val="auto"/>
        </w:rPr>
      </w:pPr>
      <w:r w:rsidRPr="00773051">
        <w:rPr>
          <w:rFonts w:ascii="Times New Roman" w:hAnsi="Times New Roman" w:cs="Times New Roman"/>
          <w:color w:val="auto"/>
        </w:rPr>
        <w:t>“4) Ziemeļatlantijas līguma organizācijas (NATO) struktūrvienības starptautiskā līguma izpildes vajadzībām vai NATO dalībvalstu bruņoto</w:t>
      </w:r>
      <w:r w:rsidRPr="00773051">
        <w:rPr>
          <w:rFonts w:ascii="Times New Roman" w:hAnsi="Times New Roman" w:cs="Times New Roman"/>
          <w:color w:val="auto"/>
        </w:rPr>
        <w:t xml:space="preserve"> spēku vienības, kas </w:t>
      </w:r>
      <w:r>
        <w:rPr>
          <w:rFonts w:ascii="Times New Roman" w:hAnsi="Times New Roman" w:cs="Times New Roman"/>
          <w:shd w:val="clear" w:color="auto" w:fill="FFFFFF"/>
        </w:rPr>
        <w:t xml:space="preserve">uzturas Latvijas Republikas teritorijā, piedaloties kopējā NATO dalībvalstu aizsardzības pasākumā, vai </w:t>
      </w:r>
      <w:r w:rsidRPr="00773051">
        <w:rPr>
          <w:rFonts w:ascii="Times New Roman" w:hAnsi="Times New Roman" w:cs="Times New Roman"/>
          <w:color w:val="auto"/>
        </w:rPr>
        <w:t>ierodas uz kopējo NATO dalībvalstu aizsardzības pasākumu Latvijas Republikas teritorijā (izņemot Latvijas Republikas Nacionālos bruņ</w:t>
      </w:r>
      <w:r w:rsidRPr="00773051">
        <w:rPr>
          <w:rFonts w:ascii="Times New Roman" w:hAnsi="Times New Roman" w:cs="Times New Roman"/>
          <w:color w:val="auto"/>
        </w:rPr>
        <w:t xml:space="preserve">otos spēkus), tai </w:t>
      </w:r>
      <w:r w:rsidRPr="00773051">
        <w:rPr>
          <w:rFonts w:ascii="Times New Roman" w:hAnsi="Times New Roman" w:cs="Times New Roman"/>
          <w:color w:val="auto"/>
          <w:shd w:val="clear" w:color="auto" w:fill="FFFFFF"/>
        </w:rPr>
        <w:t>skaitā pavadošā civilā personāla vajadzībām vai šo bruņoto spēku vienību virtuves vai ēdnīcas apgādei;</w:t>
      </w:r>
      <w:r w:rsidRPr="00773051">
        <w:rPr>
          <w:rFonts w:ascii="Times New Roman" w:hAnsi="Times New Roman" w:cs="Times New Roman"/>
          <w:color w:val="auto"/>
        </w:rPr>
        <w:t>”;</w:t>
      </w:r>
    </w:p>
    <w:p w:rsidR="007A1D16" w:rsidRPr="00773051" w:rsidRDefault="00E342C6" w:rsidP="007A1D16">
      <w:pPr>
        <w:pStyle w:val="ListParagraph"/>
        <w:numPr>
          <w:ilvl w:val="0"/>
          <w:numId w:val="16"/>
        </w:numPr>
        <w:spacing w:before="120" w:after="6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izteikt likuma 53. panta septītās daļas 6</w:t>
      </w:r>
      <w:r w:rsidRPr="00773051">
        <w:rPr>
          <w:rFonts w:ascii="Times New Roman" w:hAnsi="Times New Roman" w:cs="Times New Roman"/>
          <w:sz w:val="24"/>
          <w:szCs w:val="24"/>
        </w:rPr>
        <w:t>.</w:t>
      </w:r>
      <w:r>
        <w:rPr>
          <w:rFonts w:ascii="Times New Roman" w:hAnsi="Times New Roman" w:cs="Times New Roman"/>
          <w:sz w:val="24"/>
          <w:szCs w:val="24"/>
        </w:rPr>
        <w:t> </w:t>
      </w:r>
      <w:r w:rsidRPr="00773051">
        <w:rPr>
          <w:rFonts w:ascii="Times New Roman" w:hAnsi="Times New Roman" w:cs="Times New Roman"/>
          <w:sz w:val="24"/>
          <w:szCs w:val="24"/>
        </w:rPr>
        <w:t xml:space="preserve">punktu </w:t>
      </w:r>
      <w:r>
        <w:rPr>
          <w:rFonts w:ascii="Times New Roman" w:hAnsi="Times New Roman" w:cs="Times New Roman"/>
          <w:sz w:val="24"/>
          <w:szCs w:val="24"/>
        </w:rPr>
        <w:t>šādā redakcijā</w:t>
      </w:r>
      <w:r>
        <w:rPr>
          <w:rFonts w:ascii="Times New Roman" w:hAnsi="Times New Roman" w:cs="Times New Roman"/>
          <w:sz w:val="24"/>
          <w:szCs w:val="24"/>
          <w:shd w:val="clear" w:color="auto" w:fill="FFFFFF"/>
        </w:rPr>
        <w:t>:</w:t>
      </w:r>
    </w:p>
    <w:p w:rsidR="007A1D16" w:rsidRPr="00773051" w:rsidRDefault="00E342C6" w:rsidP="007A1D16">
      <w:pPr>
        <w:pStyle w:val="Default"/>
        <w:shd w:val="clear" w:color="auto" w:fill="FFFFFF"/>
        <w:tabs>
          <w:tab w:val="left" w:pos="1134"/>
        </w:tabs>
        <w:spacing w:after="60"/>
        <w:ind w:firstLine="709"/>
        <w:jc w:val="both"/>
        <w:rPr>
          <w:rFonts w:ascii="Times New Roman" w:hAnsi="Times New Roman" w:cs="Times New Roman"/>
          <w:color w:val="auto"/>
        </w:rPr>
      </w:pPr>
      <w:r w:rsidRPr="00773051">
        <w:rPr>
          <w:rFonts w:ascii="Times New Roman" w:hAnsi="Times New Roman" w:cs="Times New Roman"/>
          <w:color w:val="auto"/>
        </w:rPr>
        <w:lastRenderedPageBreak/>
        <w:t xml:space="preserve">“6) citu dalībvalstu bruņoto spēku vienības, kas </w:t>
      </w:r>
      <w:r>
        <w:rPr>
          <w:rFonts w:ascii="Times New Roman" w:hAnsi="Times New Roman" w:cs="Times New Roman"/>
          <w:shd w:val="clear" w:color="auto" w:fill="FFFFFF"/>
        </w:rPr>
        <w:t xml:space="preserve">uzturas Latvijas Republikas teritorijā, piedaloties aizsardzības pasākumā, vai </w:t>
      </w:r>
      <w:r w:rsidRPr="00773051">
        <w:rPr>
          <w:rFonts w:ascii="Times New Roman" w:hAnsi="Times New Roman" w:cs="Times New Roman"/>
          <w:color w:val="auto"/>
        </w:rPr>
        <w:t xml:space="preserve">ierodas uz aizsardzības pasākumu Latvijas Republikas teritorijā </w:t>
      </w:r>
      <w:r w:rsidRPr="00773051">
        <w:rPr>
          <w:rFonts w:ascii="Times New Roman" w:hAnsi="Times New Roman" w:cs="Times New Roman"/>
          <w:color w:val="auto"/>
          <w:shd w:val="clear" w:color="auto" w:fill="FFFFFF"/>
        </w:rPr>
        <w:t>(izņemot Latvijas Republikas Nacionālos bruņotos spēkus)</w:t>
      </w:r>
      <w:r w:rsidRPr="00773051">
        <w:rPr>
          <w:rFonts w:ascii="Times New Roman" w:hAnsi="Times New Roman" w:cs="Times New Roman"/>
          <w:color w:val="auto"/>
        </w:rPr>
        <w:t>, ko veic, lai īstenotu Savienības darbību saskaņā ar kop</w:t>
      </w:r>
      <w:r w:rsidRPr="00773051">
        <w:rPr>
          <w:rFonts w:ascii="Times New Roman" w:hAnsi="Times New Roman" w:cs="Times New Roman"/>
          <w:color w:val="auto"/>
        </w:rPr>
        <w:t>ējo drošības un aizsardzības politiku, vajadzībām, tai skaitā pavadošā civilā personāla vajadzībām vai šo bruņoto spēku vienību virtuves vai ēdnīcas apgādei.”</w:t>
      </w:r>
      <w:r>
        <w:rPr>
          <w:rFonts w:ascii="Times New Roman" w:hAnsi="Times New Roman" w:cs="Times New Roman"/>
          <w:color w:val="auto"/>
        </w:rPr>
        <w:t>.</w:t>
      </w:r>
    </w:p>
    <w:p w:rsidR="007A1D16" w:rsidRDefault="00E342C6" w:rsidP="007A1D16">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atbilstoši precizēt anotāciju.</w:t>
      </w:r>
    </w:p>
    <w:p w:rsidR="007A1D16" w:rsidRPr="007835FF" w:rsidRDefault="007A1D16" w:rsidP="007A1D16">
      <w:pPr>
        <w:spacing w:after="0" w:line="240" w:lineRule="auto"/>
        <w:jc w:val="both"/>
      </w:pPr>
    </w:p>
    <w:p w:rsidR="007A1D16" w:rsidRPr="00F34D4B" w:rsidRDefault="00E342C6" w:rsidP="007A1D16">
      <w:pPr>
        <w:pStyle w:val="ListParagraph"/>
        <w:numPr>
          <w:ilvl w:val="0"/>
          <w:numId w:val="12"/>
        </w:numPr>
        <w:spacing w:after="0" w:line="240" w:lineRule="auto"/>
        <w:ind w:left="0" w:firstLine="851"/>
        <w:jc w:val="both"/>
        <w:rPr>
          <w:rFonts w:ascii="Times New Roman" w:hAnsi="Times New Roman" w:cs="Times New Roman"/>
          <w:sz w:val="24"/>
          <w:szCs w:val="24"/>
        </w:rPr>
      </w:pPr>
      <w:bookmarkStart w:id="1" w:name="_Hlk73963295"/>
      <w:r w:rsidRPr="00C561E6">
        <w:rPr>
          <w:rFonts w:ascii="Times New Roman" w:eastAsia="Times New Roman" w:hAnsi="Times New Roman" w:cs="Times New Roman"/>
          <w:sz w:val="24"/>
          <w:szCs w:val="24"/>
          <w:lang w:eastAsia="lv-LV"/>
        </w:rPr>
        <w:t>Saskaņā ar anotācijas V sadaļas 1.</w:t>
      </w:r>
      <w:r>
        <w:rPr>
          <w:rFonts w:ascii="Times New Roman" w:eastAsia="Times New Roman" w:hAnsi="Times New Roman" w:cs="Times New Roman"/>
          <w:sz w:val="24"/>
          <w:szCs w:val="24"/>
          <w:lang w:eastAsia="lv-LV"/>
        </w:rPr>
        <w:t> </w:t>
      </w:r>
      <w:r w:rsidRPr="00C561E6">
        <w:rPr>
          <w:rFonts w:ascii="Times New Roman" w:eastAsia="Times New Roman" w:hAnsi="Times New Roman" w:cs="Times New Roman"/>
          <w:sz w:val="24"/>
          <w:szCs w:val="24"/>
          <w:lang w:eastAsia="lv-LV"/>
        </w:rPr>
        <w:t>tabulu Direktīvas 2016/112/EK</w:t>
      </w:r>
      <w:r w:rsidRPr="00C561E6">
        <w:rPr>
          <w:rFonts w:ascii="Times New Roman" w:eastAsia="Times New Roman" w:hAnsi="Times New Roman" w:cs="Times New Roman"/>
          <w:sz w:val="24"/>
          <w:szCs w:val="24"/>
          <w:lang w:eastAsia="lv-LV"/>
        </w:rPr>
        <w:t xml:space="preserve"> 151.panta 1.punkta “c” apakšpunkts pārņemts ar likuma 50.</w:t>
      </w:r>
      <w:r>
        <w:rPr>
          <w:rFonts w:ascii="Times New Roman" w:eastAsia="Times New Roman" w:hAnsi="Times New Roman" w:cs="Times New Roman"/>
          <w:sz w:val="24"/>
          <w:szCs w:val="24"/>
          <w:lang w:eastAsia="lv-LV"/>
        </w:rPr>
        <w:t xml:space="preserve"> </w:t>
      </w:r>
      <w:r w:rsidRPr="00C561E6">
        <w:rPr>
          <w:rFonts w:ascii="Times New Roman" w:eastAsia="Times New Roman" w:hAnsi="Times New Roman" w:cs="Times New Roman"/>
          <w:sz w:val="24"/>
          <w:szCs w:val="24"/>
          <w:lang w:eastAsia="lv-LV"/>
        </w:rPr>
        <w:t>panta otrās daļas 1.</w:t>
      </w:r>
      <w:r>
        <w:rPr>
          <w:rFonts w:ascii="Times New Roman" w:eastAsia="Times New Roman" w:hAnsi="Times New Roman" w:cs="Times New Roman"/>
          <w:sz w:val="24"/>
          <w:szCs w:val="24"/>
          <w:lang w:eastAsia="lv-LV"/>
        </w:rPr>
        <w:t> </w:t>
      </w:r>
      <w:r w:rsidRPr="00C561E6">
        <w:rPr>
          <w:rFonts w:ascii="Times New Roman" w:eastAsia="Times New Roman" w:hAnsi="Times New Roman" w:cs="Times New Roman"/>
          <w:sz w:val="24"/>
          <w:szCs w:val="24"/>
          <w:lang w:eastAsia="lv-LV"/>
        </w:rPr>
        <w:t>punktu un 50.</w:t>
      </w:r>
      <w:r>
        <w:rPr>
          <w:rFonts w:ascii="Times New Roman" w:eastAsia="Times New Roman" w:hAnsi="Times New Roman" w:cs="Times New Roman"/>
          <w:sz w:val="24"/>
          <w:szCs w:val="24"/>
          <w:lang w:eastAsia="lv-LV"/>
        </w:rPr>
        <w:t> </w:t>
      </w:r>
      <w:r w:rsidRPr="00C561E6">
        <w:rPr>
          <w:rFonts w:ascii="Times New Roman" w:eastAsia="Times New Roman" w:hAnsi="Times New Roman" w:cs="Times New Roman"/>
          <w:sz w:val="24"/>
          <w:szCs w:val="24"/>
          <w:lang w:eastAsia="lv-LV"/>
        </w:rPr>
        <w:t>panta sesto daļu. Direktīvas 2016/112/EK 151.</w:t>
      </w:r>
      <w:r>
        <w:rPr>
          <w:rFonts w:ascii="Times New Roman" w:eastAsia="Times New Roman" w:hAnsi="Times New Roman" w:cs="Times New Roman"/>
          <w:sz w:val="24"/>
          <w:szCs w:val="24"/>
          <w:lang w:eastAsia="lv-LV"/>
        </w:rPr>
        <w:t> </w:t>
      </w:r>
      <w:r w:rsidRPr="00C561E6">
        <w:rPr>
          <w:rFonts w:ascii="Times New Roman" w:eastAsia="Times New Roman" w:hAnsi="Times New Roman" w:cs="Times New Roman"/>
          <w:sz w:val="24"/>
          <w:szCs w:val="24"/>
          <w:lang w:eastAsia="lv-LV"/>
        </w:rPr>
        <w:t>panta 1.</w:t>
      </w:r>
      <w:r>
        <w:rPr>
          <w:rFonts w:ascii="Times New Roman" w:eastAsia="Times New Roman" w:hAnsi="Times New Roman" w:cs="Times New Roman"/>
          <w:sz w:val="24"/>
          <w:szCs w:val="24"/>
          <w:lang w:eastAsia="lv-LV"/>
        </w:rPr>
        <w:t> </w:t>
      </w:r>
      <w:r w:rsidRPr="00C561E6">
        <w:rPr>
          <w:rFonts w:ascii="Times New Roman" w:eastAsia="Times New Roman" w:hAnsi="Times New Roman" w:cs="Times New Roman"/>
          <w:sz w:val="24"/>
          <w:szCs w:val="24"/>
          <w:lang w:eastAsia="lv-LV"/>
        </w:rPr>
        <w:t>punkta “c” apakšpunkts saistīts ar kopējiem NATO aizsardzības pasākumiem, 151.panta 1.punkta “ba” apakšpunk</w:t>
      </w:r>
      <w:r w:rsidRPr="00C561E6">
        <w:rPr>
          <w:rFonts w:ascii="Times New Roman" w:eastAsia="Times New Roman" w:hAnsi="Times New Roman" w:cs="Times New Roman"/>
          <w:sz w:val="24"/>
          <w:szCs w:val="24"/>
          <w:lang w:eastAsia="lv-LV"/>
        </w:rPr>
        <w:t xml:space="preserve">ts ar ES aizsardzības pasākumiem. </w:t>
      </w:r>
      <w:bookmarkEnd w:id="1"/>
      <w:r w:rsidRPr="00C561E6">
        <w:rPr>
          <w:rFonts w:ascii="Times New Roman" w:eastAsia="Times New Roman" w:hAnsi="Times New Roman" w:cs="Times New Roman"/>
          <w:sz w:val="24"/>
          <w:szCs w:val="24"/>
          <w:lang w:eastAsia="lv-LV"/>
        </w:rPr>
        <w:t xml:space="preserve">Līdz ar to, lai nodrošinātu vienlīdzīgu regulējumu gan NATO, gan </w:t>
      </w:r>
      <w:r>
        <w:rPr>
          <w:rFonts w:ascii="Times New Roman" w:eastAsia="Times New Roman" w:hAnsi="Times New Roman" w:cs="Times New Roman"/>
          <w:sz w:val="24"/>
          <w:szCs w:val="24"/>
          <w:lang w:eastAsia="lv-LV"/>
        </w:rPr>
        <w:t>ES aizsardzības pasākumiem, lūdzam aizstāt likuma 50. panta sestās daļas vārdus “(NATO) dalībvalstu bruņoto spēku vienībām, kas uzturas Latvijas Republikas t</w:t>
      </w:r>
      <w:r>
        <w:rPr>
          <w:rFonts w:ascii="Times New Roman" w:eastAsia="Times New Roman" w:hAnsi="Times New Roman" w:cs="Times New Roman"/>
          <w:sz w:val="24"/>
          <w:szCs w:val="24"/>
          <w:lang w:eastAsia="lv-LV"/>
        </w:rPr>
        <w:t>eritorijā (izņemot Latvijas Republikas Nacionālos bruņotos spēkus)” ar vārdiem “(NATO) dalībvalstu bruņoto spēku vienībām, kas uzturas Latvijas Republikas teritorijā</w:t>
      </w:r>
      <w:r w:rsidRPr="005D3875">
        <w:rPr>
          <w:rFonts w:ascii="Times New Roman" w:hAnsi="Times New Roman" w:cs="Times New Roman"/>
          <w:sz w:val="24"/>
          <w:szCs w:val="24"/>
          <w:shd w:val="clear" w:color="auto" w:fill="FFFFFF"/>
        </w:rPr>
        <w:t>, piedaloties kopējā NATO dalībvalstu aizsardzības pasākumā, vai ierodas uz kopējo NATO dal</w:t>
      </w:r>
      <w:r w:rsidRPr="005D3875">
        <w:rPr>
          <w:rFonts w:ascii="Times New Roman" w:hAnsi="Times New Roman" w:cs="Times New Roman"/>
          <w:sz w:val="24"/>
          <w:szCs w:val="24"/>
          <w:shd w:val="clear" w:color="auto" w:fill="FFFFFF"/>
        </w:rPr>
        <w:t xml:space="preserve">ībvalstu aizsardzības pasākumu Latvijas Republikas teritorijā </w:t>
      </w:r>
      <w:r>
        <w:rPr>
          <w:rFonts w:ascii="Times New Roman" w:eastAsia="Times New Roman" w:hAnsi="Times New Roman" w:cs="Times New Roman"/>
          <w:sz w:val="24"/>
          <w:szCs w:val="24"/>
          <w:lang w:eastAsia="lv-LV"/>
        </w:rPr>
        <w:t xml:space="preserve">(izņemot Latvijas Republikas Nacionālos bruņotos spēkus), </w:t>
      </w:r>
      <w:r>
        <w:rPr>
          <w:rFonts w:ascii="Times New Roman" w:hAnsi="Times New Roman" w:cs="Times New Roman"/>
          <w:sz w:val="24"/>
          <w:szCs w:val="24"/>
          <w:shd w:val="clear" w:color="auto" w:fill="FFFFFF"/>
        </w:rPr>
        <w:t xml:space="preserve">vai </w:t>
      </w:r>
      <w:r w:rsidRPr="001E2FA0">
        <w:rPr>
          <w:rFonts w:ascii="Times New Roman" w:hAnsi="Times New Roman" w:cs="Times New Roman"/>
          <w:sz w:val="24"/>
          <w:szCs w:val="24"/>
          <w:shd w:val="clear" w:color="auto" w:fill="FFFFFF"/>
        </w:rPr>
        <w:t>citu</w:t>
      </w:r>
      <w:r w:rsidRPr="001E2FA0">
        <w:rPr>
          <w:rFonts w:ascii="Times New Roman" w:hAnsi="Times New Roman" w:cs="Times New Roman"/>
          <w:sz w:val="24"/>
          <w:szCs w:val="24"/>
        </w:rPr>
        <w:t xml:space="preserve"> dalībvalstu bruņoto spēku vienībām, kas </w:t>
      </w:r>
      <w:r>
        <w:rPr>
          <w:rFonts w:ascii="Times New Roman" w:hAnsi="Times New Roman" w:cs="Times New Roman"/>
          <w:sz w:val="24"/>
          <w:szCs w:val="24"/>
          <w:shd w:val="clear" w:color="auto" w:fill="FFFFFF"/>
        </w:rPr>
        <w:t xml:space="preserve">uzturas Latvijas Republikas teritorijā, piedaloties aizsardzības pasākumā, vai </w:t>
      </w:r>
      <w:r w:rsidRPr="001E2FA0">
        <w:rPr>
          <w:rFonts w:ascii="Times New Roman" w:hAnsi="Times New Roman" w:cs="Times New Roman"/>
          <w:sz w:val="24"/>
          <w:szCs w:val="24"/>
        </w:rPr>
        <w:t xml:space="preserve">ierodas </w:t>
      </w:r>
      <w:r w:rsidRPr="001E2FA0">
        <w:rPr>
          <w:rFonts w:ascii="Times New Roman" w:hAnsi="Times New Roman" w:cs="Times New Roman"/>
          <w:sz w:val="24"/>
          <w:szCs w:val="24"/>
        </w:rPr>
        <w:t xml:space="preserve">uz </w:t>
      </w:r>
      <w:r w:rsidRPr="001E2FA0">
        <w:rPr>
          <w:rFonts w:ascii="Times New Roman" w:hAnsi="Times New Roman" w:cs="Times New Roman"/>
          <w:sz w:val="24"/>
          <w:szCs w:val="24"/>
          <w:shd w:val="clear" w:color="auto" w:fill="FFFFFF"/>
        </w:rPr>
        <w:t>aizsardzības</w:t>
      </w:r>
      <w:r w:rsidRPr="001E2FA0">
        <w:rPr>
          <w:rFonts w:ascii="Times New Roman" w:hAnsi="Times New Roman" w:cs="Times New Roman"/>
          <w:sz w:val="24"/>
          <w:szCs w:val="24"/>
        </w:rPr>
        <w:t xml:space="preserve"> pasākumu Latvijas Republikas teritorijā </w:t>
      </w:r>
      <w:r w:rsidRPr="001E2FA0">
        <w:rPr>
          <w:rFonts w:ascii="Times New Roman" w:hAnsi="Times New Roman" w:cs="Times New Roman"/>
          <w:sz w:val="24"/>
          <w:szCs w:val="24"/>
          <w:shd w:val="clear" w:color="auto" w:fill="FFFFFF"/>
        </w:rPr>
        <w:t>(izņemot Latvijas Republikas Nacionālos bruņotos spēkus)</w:t>
      </w:r>
      <w:r w:rsidRPr="001E2FA0">
        <w:rPr>
          <w:rFonts w:ascii="Times New Roman" w:hAnsi="Times New Roman" w:cs="Times New Roman"/>
          <w:sz w:val="24"/>
          <w:szCs w:val="24"/>
        </w:rPr>
        <w:t>, ko veic, lai īstenotu Eiropas Savienības darbību saskaņā ar kopējo drošības un aizsardzības politiku</w:t>
      </w:r>
      <w:r>
        <w:rPr>
          <w:rFonts w:ascii="Times New Roman" w:hAnsi="Times New Roman" w:cs="Times New Roman"/>
          <w:sz w:val="24"/>
          <w:szCs w:val="24"/>
        </w:rPr>
        <w:t>,</w:t>
      </w:r>
      <w:r w:rsidRPr="00A169BE">
        <w:rPr>
          <w:rFonts w:ascii="Times New Roman" w:eastAsia="Times New Roman" w:hAnsi="Times New Roman" w:cs="Times New Roman"/>
          <w:sz w:val="24"/>
          <w:szCs w:val="24"/>
          <w:lang w:eastAsia="lv-LV"/>
        </w:rPr>
        <w:t>”.</w:t>
      </w:r>
    </w:p>
    <w:p w:rsidR="007A1D16" w:rsidRDefault="007A1D16" w:rsidP="007A1D16">
      <w:pPr>
        <w:spacing w:after="0" w:line="240" w:lineRule="auto"/>
        <w:jc w:val="both"/>
      </w:pPr>
    </w:p>
    <w:p w:rsidR="007A1D16" w:rsidRPr="002E5F85" w:rsidRDefault="00E342C6" w:rsidP="007A1D16">
      <w:pPr>
        <w:pStyle w:val="ListParagraph"/>
        <w:numPr>
          <w:ilvl w:val="0"/>
          <w:numId w:val="12"/>
        </w:numPr>
        <w:spacing w:after="0" w:line="240" w:lineRule="auto"/>
        <w:ind w:left="0" w:firstLine="851"/>
        <w:jc w:val="both"/>
        <w:rPr>
          <w:rFonts w:ascii="Times New Roman" w:eastAsia="Times New Roman" w:hAnsi="Times New Roman" w:cs="Times New Roman"/>
          <w:sz w:val="24"/>
          <w:szCs w:val="24"/>
          <w:lang w:eastAsia="lv-LV"/>
        </w:rPr>
      </w:pPr>
      <w:r w:rsidRPr="002E5F85">
        <w:rPr>
          <w:rFonts w:ascii="Times New Roman" w:eastAsia="Times New Roman" w:hAnsi="Times New Roman" w:cs="Times New Roman"/>
          <w:sz w:val="24"/>
          <w:szCs w:val="24"/>
          <w:lang w:eastAsia="lv-LV"/>
        </w:rPr>
        <w:t xml:space="preserve">Lūdzam precizēt anotācijas I sadaļas </w:t>
      </w:r>
      <w:r w:rsidRPr="002E5F85">
        <w:rPr>
          <w:rFonts w:ascii="Times New Roman" w:eastAsia="Times New Roman" w:hAnsi="Times New Roman" w:cs="Times New Roman"/>
          <w:sz w:val="24"/>
          <w:szCs w:val="24"/>
          <w:lang w:eastAsia="lv-LV"/>
        </w:rPr>
        <w:t>2. punkta 1.</w:t>
      </w:r>
      <w:r>
        <w:rPr>
          <w:rFonts w:ascii="Times New Roman" w:eastAsia="Times New Roman" w:hAnsi="Times New Roman" w:cs="Times New Roman"/>
          <w:sz w:val="24"/>
          <w:szCs w:val="24"/>
          <w:lang w:eastAsia="lv-LV"/>
        </w:rPr>
        <w:t> </w:t>
      </w:r>
      <w:r w:rsidRPr="002E5F85">
        <w:rPr>
          <w:rFonts w:ascii="Times New Roman" w:eastAsia="Times New Roman" w:hAnsi="Times New Roman" w:cs="Times New Roman"/>
          <w:sz w:val="24"/>
          <w:szCs w:val="24"/>
          <w:lang w:eastAsia="lv-LV"/>
        </w:rPr>
        <w:t>apakšpunktā ietverto uzskaitījumu par gadījumiem, kad PVN 0% likme nav piemērojama atbilstoši Direktīvas 2019/2235 preambulas 8. apsvērum</w:t>
      </w:r>
      <w:r>
        <w:rPr>
          <w:rFonts w:ascii="Times New Roman" w:eastAsia="Times New Roman" w:hAnsi="Times New Roman" w:cs="Times New Roman"/>
          <w:sz w:val="24"/>
          <w:szCs w:val="24"/>
          <w:lang w:eastAsia="lv-LV"/>
        </w:rPr>
        <w:t>ā</w:t>
      </w:r>
      <w:r w:rsidRPr="002E5F85">
        <w:rPr>
          <w:rFonts w:ascii="Times New Roman" w:eastAsia="Times New Roman" w:hAnsi="Times New Roman" w:cs="Times New Roman"/>
          <w:sz w:val="24"/>
          <w:szCs w:val="24"/>
          <w:lang w:eastAsia="lv-LV"/>
        </w:rPr>
        <w:t xml:space="preserve"> izklāstītaj</w:t>
      </w:r>
      <w:r>
        <w:rPr>
          <w:rFonts w:ascii="Times New Roman" w:eastAsia="Times New Roman" w:hAnsi="Times New Roman" w:cs="Times New Roman"/>
          <w:sz w:val="24"/>
          <w:szCs w:val="24"/>
          <w:lang w:eastAsia="lv-LV"/>
        </w:rPr>
        <w:t>a</w:t>
      </w:r>
      <w:r w:rsidRPr="002E5F85">
        <w:rPr>
          <w:rFonts w:ascii="Times New Roman" w:eastAsia="Times New Roman" w:hAnsi="Times New Roman" w:cs="Times New Roman"/>
          <w:sz w:val="24"/>
          <w:szCs w:val="24"/>
          <w:lang w:eastAsia="lv-LV"/>
        </w:rPr>
        <w:t>m, svītrojot vārdus “</w:t>
      </w:r>
      <w:r w:rsidRPr="002E5F85">
        <w:rPr>
          <w:rFonts w:ascii="Times New Roman" w:hAnsi="Times New Roman" w:cs="Times New Roman"/>
          <w:bCs/>
          <w:sz w:val="24"/>
          <w:szCs w:val="24"/>
        </w:rPr>
        <w:t xml:space="preserve">transporta vai sakaru un informācijas sistēmu infrastruktūras </w:t>
      </w:r>
      <w:r w:rsidRPr="002E5F85">
        <w:rPr>
          <w:rFonts w:ascii="Times New Roman" w:hAnsi="Times New Roman" w:cs="Times New Roman"/>
          <w:bCs/>
          <w:sz w:val="24"/>
          <w:szCs w:val="24"/>
        </w:rPr>
        <w:t>būvniecībai</w:t>
      </w:r>
      <w:r w:rsidRPr="002E5F85">
        <w:rPr>
          <w:rFonts w:ascii="Times New Roman" w:eastAsia="Times New Roman" w:hAnsi="Times New Roman" w:cs="Times New Roman"/>
          <w:sz w:val="24"/>
          <w:szCs w:val="24"/>
          <w:lang w:eastAsia="lv-LV"/>
        </w:rPr>
        <w:t>” un aizstājot vārdus “</w:t>
      </w:r>
      <w:r w:rsidRPr="002E5F85">
        <w:rPr>
          <w:rFonts w:ascii="Times New Roman" w:hAnsi="Times New Roman" w:cs="Times New Roman"/>
          <w:bCs/>
          <w:sz w:val="24"/>
          <w:szCs w:val="24"/>
        </w:rPr>
        <w:t xml:space="preserve">preces un pakalpojumi ir paredzēti uzņemošās dalībvalsts (Latvijas) </w:t>
      </w:r>
      <w:r w:rsidRPr="002E5F85">
        <w:rPr>
          <w:rFonts w:ascii="Times New Roman" w:hAnsi="Times New Roman" w:cs="Times New Roman"/>
          <w:bCs/>
          <w:sz w:val="24"/>
          <w:szCs w:val="24"/>
        </w:rPr>
        <w:lastRenderedPageBreak/>
        <w:t>bruņoto spēku vajadzībām</w:t>
      </w:r>
      <w:r w:rsidRPr="002E5F85">
        <w:rPr>
          <w:rFonts w:ascii="Times New Roman" w:eastAsia="Times New Roman" w:hAnsi="Times New Roman" w:cs="Times New Roman"/>
          <w:sz w:val="24"/>
          <w:szCs w:val="24"/>
          <w:lang w:eastAsia="lv-LV"/>
        </w:rPr>
        <w:t>” ar vārdiem “</w:t>
      </w:r>
      <w:r w:rsidRPr="002E5F85">
        <w:rPr>
          <w:rFonts w:ascii="Times New Roman" w:hAnsi="Times New Roman" w:cs="Times New Roman"/>
          <w:bCs/>
          <w:sz w:val="24"/>
          <w:szCs w:val="24"/>
        </w:rPr>
        <w:t>preces un pakalpojumi ir paredzēti Latvijas Nacionālo bruņoto spēku vai to pavadošā civilā personāla vajadzībām, pie</w:t>
      </w:r>
      <w:r w:rsidRPr="002E5F85">
        <w:rPr>
          <w:rFonts w:ascii="Times New Roman" w:hAnsi="Times New Roman" w:cs="Times New Roman"/>
          <w:bCs/>
          <w:sz w:val="24"/>
          <w:szCs w:val="24"/>
        </w:rPr>
        <w:t>daloties aizsardzības pasākumā Latvijā</w:t>
      </w:r>
      <w:r w:rsidRPr="002E5F85">
        <w:rPr>
          <w:rFonts w:ascii="Times New Roman" w:eastAsia="Times New Roman" w:hAnsi="Times New Roman" w:cs="Times New Roman"/>
          <w:sz w:val="24"/>
          <w:szCs w:val="24"/>
          <w:lang w:eastAsia="lv-LV"/>
        </w:rPr>
        <w:t>”.</w:t>
      </w:r>
    </w:p>
    <w:p w:rsidR="007A1D16" w:rsidRDefault="007A1D16" w:rsidP="007A1D16">
      <w:pPr>
        <w:spacing w:after="0" w:line="240" w:lineRule="auto"/>
        <w:jc w:val="both"/>
        <w:rPr>
          <w:rFonts w:eastAsia="Times New Roman"/>
        </w:rPr>
      </w:pPr>
    </w:p>
    <w:p w:rsidR="007A1D16" w:rsidRDefault="00E342C6" w:rsidP="007A1D16">
      <w:pPr>
        <w:pStyle w:val="ListParagraph"/>
        <w:numPr>
          <w:ilvl w:val="0"/>
          <w:numId w:val="12"/>
        </w:numPr>
        <w:spacing w:after="0" w:line="240" w:lineRule="auto"/>
        <w:ind w:left="0" w:firstLine="851"/>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Anotācijas I sadaļas 2. punkta 1. apakšpunktā otrajā atstarpē ietverto informāciju lūdzam izteikt atbilstoši Direktīvas 2019/2235 preambulas 4. apsvērumā izklāstītajam: </w:t>
      </w:r>
    </w:p>
    <w:p w:rsidR="007A1D16" w:rsidRPr="00536338" w:rsidRDefault="00E342C6" w:rsidP="007A1D16">
      <w:pPr>
        <w:spacing w:after="0" w:line="240" w:lineRule="auto"/>
        <w:ind w:left="113" w:right="113" w:firstLine="265"/>
        <w:jc w:val="both"/>
        <w:rPr>
          <w:bCs/>
        </w:rPr>
      </w:pPr>
      <w:r w:rsidRPr="00536338">
        <w:rPr>
          <w:bCs/>
        </w:rPr>
        <w:t xml:space="preserve">KDAP pasākumi, uz kuriem attiektos PVN </w:t>
      </w:r>
      <w:r w:rsidRPr="00536338">
        <w:rPr>
          <w:bCs/>
        </w:rPr>
        <w:t>atbrīvojums, ir šādi:</w:t>
      </w:r>
    </w:p>
    <w:p w:rsidR="007A1D16" w:rsidRPr="00536338" w:rsidRDefault="00E342C6" w:rsidP="007A1D16">
      <w:pPr>
        <w:spacing w:after="0" w:line="240" w:lineRule="auto"/>
        <w:ind w:left="113" w:right="113" w:firstLine="265"/>
        <w:jc w:val="both"/>
        <w:rPr>
          <w:bCs/>
        </w:rPr>
      </w:pPr>
      <w:r w:rsidRPr="00536338">
        <w:rPr>
          <w:bCs/>
        </w:rPr>
        <w:t>- militārās misijas un operācijas;</w:t>
      </w:r>
    </w:p>
    <w:p w:rsidR="007A1D16" w:rsidRPr="00536338" w:rsidRDefault="00E342C6" w:rsidP="007A1D16">
      <w:pPr>
        <w:spacing w:after="0" w:line="240" w:lineRule="auto"/>
        <w:ind w:left="113" w:right="113" w:firstLine="265"/>
        <w:jc w:val="both"/>
        <w:rPr>
          <w:bCs/>
        </w:rPr>
      </w:pPr>
      <w:r w:rsidRPr="00536338">
        <w:rPr>
          <w:bCs/>
        </w:rPr>
        <w:t>- kaujas vienību darbības;</w:t>
      </w:r>
    </w:p>
    <w:p w:rsidR="007A1D16" w:rsidRPr="00536338" w:rsidRDefault="00E342C6" w:rsidP="007A1D16">
      <w:pPr>
        <w:spacing w:after="0" w:line="240" w:lineRule="auto"/>
        <w:ind w:left="113" w:right="113" w:firstLine="265"/>
        <w:jc w:val="both"/>
        <w:rPr>
          <w:bCs/>
        </w:rPr>
      </w:pPr>
      <w:r w:rsidRPr="00536338">
        <w:rPr>
          <w:bCs/>
        </w:rPr>
        <w:t>- savstarpēja palīdzība;</w:t>
      </w:r>
    </w:p>
    <w:p w:rsidR="007A1D16" w:rsidRPr="00536338" w:rsidRDefault="00E342C6" w:rsidP="007A1D16">
      <w:pPr>
        <w:spacing w:after="0" w:line="240" w:lineRule="auto"/>
        <w:ind w:left="113" w:right="113" w:firstLine="265"/>
        <w:jc w:val="both"/>
        <w:rPr>
          <w:bCs/>
        </w:rPr>
      </w:pPr>
      <w:r w:rsidRPr="00536338">
        <w:rPr>
          <w:bCs/>
        </w:rPr>
        <w:t>- projekti Pastāvīgās strukturētās sadarbības (PESCO) jomā;</w:t>
      </w:r>
    </w:p>
    <w:p w:rsidR="007A1D16" w:rsidRDefault="00E342C6" w:rsidP="007A1D16">
      <w:pPr>
        <w:spacing w:after="0" w:line="240" w:lineRule="auto"/>
        <w:ind w:left="113" w:right="113" w:firstLine="265"/>
        <w:jc w:val="both"/>
        <w:rPr>
          <w:bCs/>
        </w:rPr>
      </w:pPr>
      <w:r w:rsidRPr="00536338">
        <w:rPr>
          <w:bCs/>
        </w:rPr>
        <w:t>- Eiropas Aizsardzības aģentūras (EAA) darbības.</w:t>
      </w:r>
    </w:p>
    <w:p w:rsidR="007A1D16" w:rsidRPr="00536338" w:rsidRDefault="00E342C6" w:rsidP="007A1D16">
      <w:pPr>
        <w:spacing w:after="0" w:line="240" w:lineRule="auto"/>
        <w:jc w:val="both"/>
        <w:rPr>
          <w:rFonts w:eastAsia="Times New Roman"/>
        </w:rPr>
      </w:pPr>
      <w:r w:rsidRPr="00536338">
        <w:t>Tomēr minēt</w:t>
      </w:r>
      <w:r>
        <w:t>aj</w:t>
      </w:r>
      <w:r w:rsidRPr="00536338">
        <w:t>iem KDAP pasākumiem nebūt</w:t>
      </w:r>
      <w:r w:rsidRPr="00536338">
        <w:t>u jāattiecas uz darbībām, kas izriet no Līguma par Eiropas Savienības darbību 222. pantā izklāstītās solidaritātes klauzulas, vai jebkurām citām divpusējām vai daudzpusējām darbībām starp dalībvalstīm, kas nav saistītas ar aizsardzības pasākumiem, kurus ve</w:t>
      </w:r>
      <w:r w:rsidRPr="00536338">
        <w:t>ic, lai īstenotu Savienības darbību saskaņā ar KDAP.</w:t>
      </w:r>
    </w:p>
    <w:p w:rsidR="007A1D16" w:rsidRDefault="007A1D16" w:rsidP="007A1D16">
      <w:pPr>
        <w:pStyle w:val="ListParagraph"/>
        <w:spacing w:after="0" w:line="240" w:lineRule="auto"/>
        <w:ind w:left="851"/>
        <w:jc w:val="both"/>
        <w:rPr>
          <w:rFonts w:ascii="Times New Roman" w:eastAsia="Times New Roman" w:hAnsi="Times New Roman" w:cs="Times New Roman"/>
          <w:sz w:val="24"/>
          <w:szCs w:val="24"/>
          <w:lang w:eastAsia="lv-LV"/>
        </w:rPr>
      </w:pPr>
    </w:p>
    <w:p w:rsidR="002F4357" w:rsidRDefault="00E342C6" w:rsidP="002F4357">
      <w:pPr>
        <w:pStyle w:val="ListParagraph"/>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lv-LV"/>
        </w:rPr>
      </w:pPr>
      <w:r w:rsidRPr="002E5F85">
        <w:rPr>
          <w:rFonts w:ascii="Times New Roman" w:eastAsia="Times New Roman" w:hAnsi="Times New Roman" w:cs="Times New Roman"/>
          <w:sz w:val="24"/>
          <w:szCs w:val="24"/>
          <w:lang w:eastAsia="lv-LV"/>
        </w:rPr>
        <w:t>Lūdzam atbilstoši Eiropas Komisijas darba dokumentā sniegtajam skaidrojumam</w:t>
      </w:r>
      <w:r>
        <w:rPr>
          <w:rStyle w:val="FootnoteReference"/>
          <w:rFonts w:ascii="Times New Roman" w:eastAsia="Times New Roman" w:hAnsi="Times New Roman" w:cs="Times New Roman"/>
          <w:sz w:val="24"/>
          <w:szCs w:val="24"/>
          <w:lang w:eastAsia="lv-LV"/>
        </w:rPr>
        <w:footnoteReference w:id="2"/>
      </w:r>
      <w:r w:rsidRPr="002E5F85">
        <w:rPr>
          <w:rFonts w:ascii="Times New Roman" w:eastAsia="Times New Roman" w:hAnsi="Times New Roman" w:cs="Times New Roman"/>
          <w:sz w:val="24"/>
          <w:szCs w:val="24"/>
          <w:lang w:eastAsia="lv-LV"/>
        </w:rPr>
        <w:t xml:space="preserve"> precizēt anotācijas I sadaļas 2. punkta 3. apakšpunktā ietverto teikumu “</w:t>
      </w:r>
      <w:r w:rsidRPr="002E5F85">
        <w:rPr>
          <w:rFonts w:ascii="Times New Roman" w:hAnsi="Times New Roman" w:cs="Times New Roman"/>
          <w:sz w:val="24"/>
          <w:szCs w:val="24"/>
        </w:rPr>
        <w:t>Ja NATO dalībvalstu bruņoto spēku klātbūtne uzņemošā</w:t>
      </w:r>
      <w:r w:rsidRPr="002E5F85">
        <w:rPr>
          <w:rFonts w:ascii="Times New Roman" w:hAnsi="Times New Roman" w:cs="Times New Roman"/>
          <w:sz w:val="24"/>
          <w:szCs w:val="24"/>
        </w:rPr>
        <w:t xml:space="preserve"> dalībvalstī (Latvijā) balstās uz divpusēju līgumu, tiem neņemot dalību kopējā aizsardzības pasākumā, PVN atbrīvojums nav piemērojams.</w:t>
      </w:r>
      <w:r w:rsidRPr="002E5F85">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w:t>
      </w:r>
      <w:r w:rsidRPr="002E5F85">
        <w:rPr>
          <w:rFonts w:ascii="Times New Roman" w:eastAsia="Times New Roman" w:hAnsi="Times New Roman" w:cs="Times New Roman"/>
          <w:sz w:val="24"/>
          <w:szCs w:val="24"/>
          <w:lang w:eastAsia="lv-LV"/>
        </w:rPr>
        <w:t xml:space="preserve"> izsakot to šādā redakcijā “</w:t>
      </w:r>
      <w:r w:rsidRPr="002E5F85">
        <w:rPr>
          <w:rFonts w:ascii="Times New Roman" w:hAnsi="Times New Roman" w:cs="Times New Roman"/>
          <w:sz w:val="24"/>
          <w:szCs w:val="24"/>
        </w:rPr>
        <w:t xml:space="preserve">Ja NATO </w:t>
      </w:r>
      <w:r w:rsidRPr="002E5F85">
        <w:rPr>
          <w:rFonts w:ascii="Times New Roman" w:hAnsi="Times New Roman" w:cs="Times New Roman"/>
          <w:sz w:val="24"/>
          <w:szCs w:val="24"/>
        </w:rPr>
        <w:lastRenderedPageBreak/>
        <w:t xml:space="preserve">dalībvalstu bruņoto spēku klātbūtne uzņemošā dalībvalstī (Latvijā) balstās uz divpusēju līgumu, kas neizriet no Ziemeļatlantijas līguma, spēkiem neņemot dalību kopējā aizsardzības pasākumā, </w:t>
      </w:r>
      <w:r>
        <w:rPr>
          <w:rFonts w:ascii="Times New Roman" w:hAnsi="Times New Roman" w:cs="Times New Roman"/>
          <w:sz w:val="24"/>
          <w:szCs w:val="24"/>
        </w:rPr>
        <w:t>PVN atbrīvojums nav piemērojams</w:t>
      </w:r>
      <w:r w:rsidRPr="002E5F85">
        <w:rPr>
          <w:rFonts w:ascii="Times New Roman" w:hAnsi="Times New Roman" w:cs="Times New Roman"/>
          <w:sz w:val="24"/>
          <w:szCs w:val="24"/>
        </w:rPr>
        <w:t>.</w:t>
      </w:r>
      <w:r w:rsidRPr="002E5F85">
        <w:rPr>
          <w:rFonts w:ascii="Times New Roman" w:eastAsia="Times New Roman" w:hAnsi="Times New Roman" w:cs="Times New Roman"/>
          <w:sz w:val="24"/>
          <w:szCs w:val="24"/>
          <w:lang w:eastAsia="lv-LV"/>
        </w:rPr>
        <w:t>”</w:t>
      </w:r>
    </w:p>
    <w:p w:rsidR="002F4357" w:rsidRDefault="002F4357" w:rsidP="002F4357">
      <w:pPr>
        <w:pStyle w:val="ListParagraph"/>
        <w:autoSpaceDE w:val="0"/>
        <w:autoSpaceDN w:val="0"/>
        <w:adjustRightInd w:val="0"/>
        <w:spacing w:after="0" w:line="240" w:lineRule="auto"/>
        <w:ind w:left="851"/>
        <w:jc w:val="both"/>
        <w:rPr>
          <w:rFonts w:ascii="Times New Roman" w:eastAsia="Times New Roman" w:hAnsi="Times New Roman" w:cs="Times New Roman"/>
          <w:sz w:val="24"/>
          <w:szCs w:val="24"/>
          <w:lang w:eastAsia="lv-LV"/>
        </w:rPr>
      </w:pPr>
    </w:p>
    <w:p w:rsidR="002F4357" w:rsidRPr="002F4357" w:rsidRDefault="00E342C6" w:rsidP="002F4357">
      <w:pPr>
        <w:pStyle w:val="ListParagraph"/>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lv-LV"/>
        </w:rPr>
      </w:pPr>
      <w:r w:rsidRPr="002F4357">
        <w:rPr>
          <w:rFonts w:ascii="Times New Roman" w:hAnsi="Times New Roman" w:cs="Times New Roman"/>
          <w:sz w:val="24"/>
          <w:szCs w:val="24"/>
        </w:rPr>
        <w:t xml:space="preserve">Lūdzam precizēt likuma </w:t>
      </w:r>
      <w:r w:rsidRPr="002F4357">
        <w:rPr>
          <w:rFonts w:ascii="Times New Roman" w:hAnsi="Times New Roman" w:cs="Times New Roman"/>
          <w:sz w:val="24"/>
          <w:szCs w:val="24"/>
        </w:rPr>
        <w:t>50. panta trešo daļu atbilstoši Direktīvas 2006/112/EK 151. panta 1. punkta “bb” un “d” apakšpunktos un MK noteikumu Nr.908</w:t>
      </w:r>
      <w:r>
        <w:rPr>
          <w:rFonts w:ascii="Times New Roman" w:hAnsi="Times New Roman" w:cs="Times New Roman"/>
          <w:sz w:val="24"/>
          <w:szCs w:val="24"/>
          <w:vertAlign w:val="superscript"/>
        </w:rPr>
        <w:footnoteReference w:id="3"/>
      </w:r>
      <w:r w:rsidRPr="002F4357">
        <w:rPr>
          <w:rFonts w:ascii="Times New Roman" w:hAnsi="Times New Roman" w:cs="Times New Roman"/>
          <w:sz w:val="24"/>
          <w:szCs w:val="24"/>
        </w:rPr>
        <w:t xml:space="preserve"> </w:t>
      </w:r>
      <w:r>
        <w:rPr>
          <w:rFonts w:ascii="Times New Roman" w:hAnsi="Times New Roman" w:cs="Times New Roman"/>
          <w:sz w:val="24"/>
          <w:szCs w:val="24"/>
        </w:rPr>
        <w:t>63.2</w:t>
      </w:r>
      <w:r w:rsidRPr="002F4357">
        <w:rPr>
          <w:rFonts w:ascii="Times New Roman" w:hAnsi="Times New Roman" w:cs="Times New Roman"/>
          <w:sz w:val="24"/>
          <w:szCs w:val="24"/>
        </w:rPr>
        <w:t xml:space="preserve">. </w:t>
      </w:r>
      <w:r>
        <w:rPr>
          <w:rFonts w:ascii="Times New Roman" w:hAnsi="Times New Roman" w:cs="Times New Roman"/>
          <w:sz w:val="24"/>
          <w:szCs w:val="24"/>
        </w:rPr>
        <w:t>apakš</w:t>
      </w:r>
      <w:r w:rsidRPr="002F4357">
        <w:rPr>
          <w:rFonts w:ascii="Times New Roman" w:hAnsi="Times New Roman" w:cs="Times New Roman"/>
          <w:sz w:val="24"/>
          <w:szCs w:val="24"/>
        </w:rPr>
        <w:t>punktā paredzētajām, ne tikai atzīstot citu dalībvalstu kompetento iestāžu tiesības apstiprināt atbrīvojuma sertifikātus</w:t>
      </w:r>
      <w:r w:rsidRPr="002F4357">
        <w:rPr>
          <w:rFonts w:ascii="Times New Roman" w:hAnsi="Times New Roman" w:cs="Times New Roman"/>
          <w:sz w:val="24"/>
          <w:szCs w:val="24"/>
        </w:rPr>
        <w:t xml:space="preserve"> NATO dalībvalstu bruņoto spēku vienībām, kad tās ierodas/uzturas Latvijā NATO vai ES aizsardzības pasākuma īstenošanai, bet arī labojot pieļauto tehnisko kļūdu attiecībā uz Latvijas publisko tiesību institūciju tiesībām apstiprināt atbrīvojumu sertifikātu</w:t>
      </w:r>
      <w:r w:rsidRPr="002F4357">
        <w:rPr>
          <w:rFonts w:ascii="Times New Roman" w:hAnsi="Times New Roman" w:cs="Times New Roman"/>
          <w:sz w:val="24"/>
          <w:szCs w:val="24"/>
        </w:rPr>
        <w:t>s Latvijas Nacionālajiem bruņotajiem spēkiem, kad tie izbrauc uz NATO vai KADP ietvara pasākumu citā ES dalībvalstī, izsakot šo daļu šādā redakcijā:</w:t>
      </w:r>
    </w:p>
    <w:p w:rsidR="002F4357" w:rsidRPr="002F4357" w:rsidRDefault="00E342C6" w:rsidP="002F4357">
      <w:pPr>
        <w:spacing w:after="0" w:line="240" w:lineRule="auto"/>
        <w:jc w:val="both"/>
      </w:pPr>
      <w:r w:rsidRPr="002F4357">
        <w:t>“Latvijas Republikas kompetentās iestādes apstiprina Pievienotās vērtības nodokļa un akcīzes nodokļa atbrīv</w:t>
      </w:r>
      <w:r w:rsidRPr="002F4357">
        <w:t>ojuma sertifikātu, kas atbilst Padomes 2011.gada 15.marta Īstenošanas regulai (ES) Nr. 282/2011, ar ko nosaka īstenošanas pasākumus direktīvai 2006/112/EK par kopējo pievienotās vērtības nodokļa sistēmu (turpmāk — sertifikāts), ko noformē šajā pantā minētā</w:t>
      </w:r>
      <w:r w:rsidRPr="002F4357">
        <w:t xml:space="preserve">s personas preču iegādei un pakalpojumu saņemšanai citā dalībvalstī vai iekšzemē, kā arī Latvijas Republikas Nacionālie bruņotie spēki, dodoties uz kopējo NATO dalībvalstu aizsardzības pasākumu citā dalībvalstī vai uz </w:t>
      </w:r>
      <w:r w:rsidRPr="002F4357">
        <w:rPr>
          <w:shd w:val="clear" w:color="auto" w:fill="FFFFFF"/>
        </w:rPr>
        <w:t>aizsardzības</w:t>
      </w:r>
      <w:r w:rsidRPr="002F4357">
        <w:t xml:space="preserve"> pasākumu citā dalībvalstī</w:t>
      </w:r>
      <w:r w:rsidRPr="002F4357">
        <w:t>, ko veic, lai īstenotu Eiropas Savienības darbību saskaņā ar kopējo drošības un aizsardzības politiku- preču iegādei un pakalpojumu saņemšanai citā dalībvalstī.”</w:t>
      </w:r>
    </w:p>
    <w:p w:rsidR="002F4357" w:rsidRPr="002F4357" w:rsidRDefault="00E342C6" w:rsidP="002F4357">
      <w:pPr>
        <w:spacing w:line="252" w:lineRule="auto"/>
      </w:pPr>
      <w:r w:rsidRPr="002F4357">
        <w:t xml:space="preserve">Attiecīgi lūdzam precizēt arī anotācijas </w:t>
      </w:r>
      <w:r w:rsidRPr="002F4357">
        <w:rPr>
          <w:rFonts w:eastAsia="Times New Roman"/>
        </w:rPr>
        <w:t xml:space="preserve">V sadaļas 1. tabulā sniegto informāciju par Direktīvas 209/2235 151.panta 1.punkta </w:t>
      </w:r>
      <w:r w:rsidRPr="002F4357">
        <w:t xml:space="preserve">“ba”, “bb” </w:t>
      </w:r>
      <w:r w:rsidRPr="002F4357">
        <w:lastRenderedPageBreak/>
        <w:t xml:space="preserve">un “c” pārņemšanu, ievērojot, kā pēc piemērošanas </w:t>
      </w:r>
      <w:r w:rsidRPr="002F4357">
        <w:rPr>
          <w:rFonts w:eastAsia="Times New Roman"/>
        </w:rPr>
        <w:t xml:space="preserve">“ba” ir līdzīgs “c” apakšpunktam, un “bb” – “d” apakšpunktam, </w:t>
      </w:r>
      <w:r w:rsidRPr="002F4357">
        <w:t xml:space="preserve">norādot, ka: </w:t>
      </w:r>
    </w:p>
    <w:p w:rsidR="002F4357" w:rsidRPr="002F4357" w:rsidRDefault="00E342C6" w:rsidP="002F4357">
      <w:pPr>
        <w:pStyle w:val="ListParagraph"/>
        <w:numPr>
          <w:ilvl w:val="0"/>
          <w:numId w:val="16"/>
        </w:numPr>
        <w:spacing w:line="252" w:lineRule="auto"/>
        <w:jc w:val="both"/>
        <w:rPr>
          <w:rFonts w:ascii="Times New Roman" w:hAnsi="Times New Roman" w:cs="Times New Roman"/>
          <w:sz w:val="24"/>
          <w:szCs w:val="24"/>
        </w:rPr>
      </w:pPr>
      <w:r w:rsidRPr="002F4357">
        <w:rPr>
          <w:rFonts w:ascii="Times New Roman" w:hAnsi="Times New Roman" w:cs="Times New Roman"/>
          <w:sz w:val="24"/>
          <w:szCs w:val="24"/>
        </w:rPr>
        <w:t>“ba” pārņemams ar likuma 50.</w:t>
      </w:r>
      <w:r>
        <w:rPr>
          <w:rFonts w:ascii="Times New Roman" w:hAnsi="Times New Roman" w:cs="Times New Roman"/>
          <w:sz w:val="24"/>
          <w:szCs w:val="24"/>
        </w:rPr>
        <w:t> </w:t>
      </w:r>
      <w:r w:rsidRPr="002F4357">
        <w:rPr>
          <w:rFonts w:ascii="Times New Roman" w:hAnsi="Times New Roman" w:cs="Times New Roman"/>
          <w:sz w:val="24"/>
          <w:szCs w:val="24"/>
        </w:rPr>
        <w:t>panta o</w:t>
      </w:r>
      <w:r w:rsidRPr="002F4357">
        <w:rPr>
          <w:rFonts w:ascii="Times New Roman" w:hAnsi="Times New Roman" w:cs="Times New Roman"/>
          <w:sz w:val="24"/>
          <w:szCs w:val="24"/>
        </w:rPr>
        <w:t>trās daļas 2.</w:t>
      </w:r>
      <w:r>
        <w:rPr>
          <w:rFonts w:ascii="Times New Roman" w:hAnsi="Times New Roman" w:cs="Times New Roman"/>
          <w:sz w:val="24"/>
          <w:szCs w:val="24"/>
        </w:rPr>
        <w:t> </w:t>
      </w:r>
      <w:r w:rsidRPr="002F4357">
        <w:rPr>
          <w:rFonts w:ascii="Times New Roman" w:hAnsi="Times New Roman" w:cs="Times New Roman"/>
          <w:sz w:val="24"/>
          <w:szCs w:val="24"/>
        </w:rPr>
        <w:t>punktu, sesto daļu un septītās daļas otro punktu</w:t>
      </w:r>
      <w:r>
        <w:rPr>
          <w:rFonts w:ascii="Times New Roman" w:hAnsi="Times New Roman" w:cs="Times New Roman"/>
          <w:sz w:val="24"/>
          <w:szCs w:val="24"/>
        </w:rPr>
        <w:t>;</w:t>
      </w:r>
    </w:p>
    <w:p w:rsidR="002F4357" w:rsidRPr="002F4357" w:rsidRDefault="00E342C6" w:rsidP="002F4357">
      <w:pPr>
        <w:pStyle w:val="ListParagraph"/>
        <w:numPr>
          <w:ilvl w:val="0"/>
          <w:numId w:val="16"/>
        </w:numPr>
        <w:spacing w:line="252" w:lineRule="auto"/>
        <w:jc w:val="both"/>
        <w:rPr>
          <w:rFonts w:ascii="Times New Roman" w:hAnsi="Times New Roman" w:cs="Times New Roman"/>
          <w:sz w:val="24"/>
          <w:szCs w:val="24"/>
        </w:rPr>
      </w:pPr>
      <w:r w:rsidRPr="002F4357">
        <w:rPr>
          <w:rFonts w:ascii="Times New Roman" w:hAnsi="Times New Roman" w:cs="Times New Roman"/>
          <w:sz w:val="24"/>
          <w:szCs w:val="24"/>
        </w:rPr>
        <w:t>“c” pārņemams ar 50.</w:t>
      </w:r>
      <w:r>
        <w:rPr>
          <w:rFonts w:ascii="Times New Roman" w:hAnsi="Times New Roman" w:cs="Times New Roman"/>
          <w:sz w:val="24"/>
          <w:szCs w:val="24"/>
        </w:rPr>
        <w:t> </w:t>
      </w:r>
      <w:r w:rsidRPr="002F4357">
        <w:rPr>
          <w:rFonts w:ascii="Times New Roman" w:hAnsi="Times New Roman" w:cs="Times New Roman"/>
          <w:sz w:val="24"/>
          <w:szCs w:val="24"/>
        </w:rPr>
        <w:t>panta otrās daļas 1.</w:t>
      </w:r>
      <w:r>
        <w:rPr>
          <w:rFonts w:ascii="Times New Roman" w:hAnsi="Times New Roman" w:cs="Times New Roman"/>
          <w:sz w:val="24"/>
          <w:szCs w:val="24"/>
        </w:rPr>
        <w:t> </w:t>
      </w:r>
      <w:r w:rsidRPr="002F4357">
        <w:rPr>
          <w:rFonts w:ascii="Times New Roman" w:hAnsi="Times New Roman" w:cs="Times New Roman"/>
          <w:sz w:val="24"/>
          <w:szCs w:val="24"/>
        </w:rPr>
        <w:t>punktu</w:t>
      </w:r>
      <w:r>
        <w:rPr>
          <w:rFonts w:ascii="Times New Roman" w:hAnsi="Times New Roman" w:cs="Times New Roman"/>
          <w:sz w:val="24"/>
          <w:szCs w:val="24"/>
        </w:rPr>
        <w:t>,</w:t>
      </w:r>
      <w:r w:rsidRPr="002F4357">
        <w:rPr>
          <w:rFonts w:ascii="Times New Roman" w:hAnsi="Times New Roman" w:cs="Times New Roman"/>
          <w:sz w:val="24"/>
          <w:szCs w:val="24"/>
        </w:rPr>
        <w:t xml:space="preserve"> sesto daļu un septītās daļas otro punktu;</w:t>
      </w:r>
    </w:p>
    <w:p w:rsidR="002F4357" w:rsidRPr="002F4357" w:rsidRDefault="00E342C6" w:rsidP="002F4357">
      <w:pPr>
        <w:pStyle w:val="ListParagraph"/>
        <w:numPr>
          <w:ilvl w:val="0"/>
          <w:numId w:val="16"/>
        </w:numPr>
        <w:spacing w:line="252" w:lineRule="auto"/>
        <w:rPr>
          <w:rFonts w:ascii="Times New Roman" w:hAnsi="Times New Roman" w:cs="Times New Roman"/>
          <w:sz w:val="24"/>
          <w:szCs w:val="24"/>
        </w:rPr>
      </w:pPr>
      <w:r w:rsidRPr="002F4357">
        <w:rPr>
          <w:rFonts w:ascii="Times New Roman" w:hAnsi="Times New Roman" w:cs="Times New Roman"/>
          <w:sz w:val="24"/>
          <w:szCs w:val="24"/>
        </w:rPr>
        <w:t xml:space="preserve"> “bb” pārņemams ar 50.</w:t>
      </w:r>
      <w:r>
        <w:rPr>
          <w:rFonts w:ascii="Times New Roman" w:hAnsi="Times New Roman" w:cs="Times New Roman"/>
          <w:sz w:val="24"/>
          <w:szCs w:val="24"/>
        </w:rPr>
        <w:t> </w:t>
      </w:r>
      <w:r w:rsidRPr="002F4357">
        <w:rPr>
          <w:rFonts w:ascii="Times New Roman" w:hAnsi="Times New Roman" w:cs="Times New Roman"/>
          <w:sz w:val="24"/>
          <w:szCs w:val="24"/>
        </w:rPr>
        <w:t>panta piektās daļas 3.</w:t>
      </w:r>
      <w:r>
        <w:rPr>
          <w:rFonts w:ascii="Times New Roman" w:hAnsi="Times New Roman" w:cs="Times New Roman"/>
          <w:sz w:val="24"/>
          <w:szCs w:val="24"/>
        </w:rPr>
        <w:t> </w:t>
      </w:r>
      <w:r w:rsidRPr="002F4357">
        <w:rPr>
          <w:rFonts w:ascii="Times New Roman" w:hAnsi="Times New Roman" w:cs="Times New Roman"/>
          <w:sz w:val="24"/>
          <w:szCs w:val="24"/>
        </w:rPr>
        <w:t>punktu un trešo daļu.</w:t>
      </w:r>
    </w:p>
    <w:p w:rsidR="007A1D16" w:rsidRPr="002F4357" w:rsidRDefault="007A1D16" w:rsidP="007A1D16">
      <w:pPr>
        <w:spacing w:after="0" w:line="240" w:lineRule="auto"/>
        <w:jc w:val="both"/>
      </w:pPr>
    </w:p>
    <w:p w:rsidR="007A1D16" w:rsidRPr="002F4357" w:rsidRDefault="00E342C6" w:rsidP="007A1D16">
      <w:pPr>
        <w:spacing w:after="120" w:line="240" w:lineRule="auto"/>
        <w:jc w:val="both"/>
      </w:pPr>
      <w:r w:rsidRPr="002F4357">
        <w:t xml:space="preserve">Vienlaikus Aizsardzības ministrijas izsaka šādus priekšlikumus: </w:t>
      </w:r>
    </w:p>
    <w:p w:rsidR="007A1D16" w:rsidRPr="00AF7EA1" w:rsidRDefault="00E342C6" w:rsidP="007A1D16">
      <w:pPr>
        <w:pStyle w:val="ListParagraph"/>
        <w:numPr>
          <w:ilvl w:val="0"/>
          <w:numId w:val="15"/>
        </w:numPr>
        <w:spacing w:after="60" w:line="240" w:lineRule="auto"/>
        <w:ind w:left="714" w:hanging="357"/>
        <w:contextualSpacing w:val="0"/>
        <w:jc w:val="both"/>
        <w:rPr>
          <w:rFonts w:ascii="Times New Roman" w:eastAsia="Times New Roman" w:hAnsi="Times New Roman" w:cs="Times New Roman"/>
          <w:sz w:val="24"/>
          <w:szCs w:val="24"/>
          <w:lang w:eastAsia="lv-LV"/>
        </w:rPr>
      </w:pPr>
      <w:r w:rsidRPr="00AF7EA1">
        <w:rPr>
          <w:rFonts w:ascii="Times New Roman" w:hAnsi="Times New Roman" w:cs="Times New Roman"/>
          <w:sz w:val="24"/>
          <w:szCs w:val="24"/>
        </w:rPr>
        <w:t xml:space="preserve">Par tehnisku precizējumu </w:t>
      </w:r>
      <w:r>
        <w:rPr>
          <w:rFonts w:ascii="Times New Roman" w:hAnsi="Times New Roman" w:cs="Times New Roman"/>
          <w:sz w:val="24"/>
          <w:szCs w:val="24"/>
        </w:rPr>
        <w:t>l</w:t>
      </w:r>
      <w:r w:rsidRPr="00AF7EA1">
        <w:rPr>
          <w:rFonts w:ascii="Times New Roman" w:hAnsi="Times New Roman" w:cs="Times New Roman"/>
          <w:sz w:val="24"/>
          <w:szCs w:val="24"/>
        </w:rPr>
        <w:t>ikum</w:t>
      </w:r>
      <w:r>
        <w:rPr>
          <w:rFonts w:ascii="Times New Roman" w:hAnsi="Times New Roman" w:cs="Times New Roman"/>
          <w:sz w:val="24"/>
          <w:szCs w:val="24"/>
        </w:rPr>
        <w:t>a</w:t>
      </w:r>
      <w:r w:rsidRPr="00AF7EA1">
        <w:rPr>
          <w:rFonts w:ascii="Times New Roman" w:hAnsi="Times New Roman" w:cs="Times New Roman"/>
          <w:sz w:val="24"/>
          <w:szCs w:val="24"/>
        </w:rPr>
        <w:t xml:space="preserve"> 1.</w:t>
      </w:r>
      <w:r>
        <w:rPr>
          <w:rFonts w:ascii="Times New Roman" w:hAnsi="Times New Roman" w:cs="Times New Roman"/>
          <w:sz w:val="24"/>
          <w:szCs w:val="24"/>
        </w:rPr>
        <w:t> </w:t>
      </w:r>
      <w:r w:rsidRPr="00AF7EA1">
        <w:rPr>
          <w:rFonts w:ascii="Times New Roman" w:hAnsi="Times New Roman" w:cs="Times New Roman"/>
          <w:sz w:val="24"/>
          <w:szCs w:val="24"/>
        </w:rPr>
        <w:t>panta 3.</w:t>
      </w:r>
      <w:r>
        <w:rPr>
          <w:rFonts w:ascii="Times New Roman" w:hAnsi="Times New Roman" w:cs="Times New Roman"/>
          <w:sz w:val="24"/>
          <w:szCs w:val="24"/>
        </w:rPr>
        <w:t> </w:t>
      </w:r>
      <w:r w:rsidRPr="00AF7EA1">
        <w:rPr>
          <w:rFonts w:ascii="Times New Roman" w:hAnsi="Times New Roman" w:cs="Times New Roman"/>
          <w:sz w:val="24"/>
          <w:szCs w:val="24"/>
        </w:rPr>
        <w:t xml:space="preserve">punktā: </w:t>
      </w:r>
    </w:p>
    <w:p w:rsidR="007A1D16" w:rsidRDefault="00E342C6" w:rsidP="007A1D16">
      <w:pPr>
        <w:spacing w:after="0" w:line="240" w:lineRule="auto"/>
        <w:jc w:val="both"/>
        <w:rPr>
          <w:rFonts w:eastAsia="Times New Roman"/>
        </w:rPr>
      </w:pPr>
      <w:r w:rsidRPr="00AF7EA1">
        <w:t>Saskaņā ar Līguma par Lielbritānijas un Ziemeļīrijas Apvienotās Karalistes izstāšanos no Eiropas Savienības un Eiropas Atomenerģijas kopie</w:t>
      </w:r>
      <w:r w:rsidRPr="00AF7EA1">
        <w:t>nas (turpmāk – Brexit līgums) 3. panta 1. punkta</w:t>
      </w:r>
      <w:r w:rsidRPr="00E877A1">
        <w:t xml:space="preserve"> “d” apakšpunktu, j</w:t>
      </w:r>
      <w:r w:rsidRPr="00E877A1">
        <w:rPr>
          <w:rFonts w:eastAsia="Times New Roman"/>
        </w:rPr>
        <w:t>a vien šajā līgumā vai Savienības tiesībās, kas padarītas piemērojamas ar šo līgumu, nav paredzēts citādi, visur, kur šajā līgumā minēta Apvienotā Karaliste vai tās teritorija, ar to saprot</w:t>
      </w:r>
      <w:r w:rsidRPr="00E877A1">
        <w:rPr>
          <w:rFonts w:eastAsia="Times New Roman"/>
        </w:rPr>
        <w:t xml:space="preserve"> Akrotiri un Dekelijas suverēnās bāzu teritorijas Kiprā, ciktāl nepieciešams to pasākumu īstenošanai, kas noteikti Protokolā par Lielbritānijas un Ziemeļīrijas Apvienotās Karalistes Suverēnajām bāzu teritorijām Kiprā, kurš pievienots Aktam par Čehijas Repu</w:t>
      </w:r>
      <w:r w:rsidRPr="00E877A1">
        <w:rPr>
          <w:rFonts w:eastAsia="Times New Roman"/>
        </w:rPr>
        <w:t xml:space="preserve">blikas, Igaunijas Republikas, Kipras Republikas, Latvijas Republikas, Lietuvas Republikas, Ungārijas Republikas, Maltas Republikas, Polijas Republikas, Slovēnijas Republikas un Slovākijas Republikas pievienošanās nosacījumiem. </w:t>
      </w:r>
      <w:r>
        <w:rPr>
          <w:rFonts w:eastAsia="Times New Roman"/>
        </w:rPr>
        <w:t>Tātad, Akrotiri un Dekeleja n</w:t>
      </w:r>
      <w:r>
        <w:rPr>
          <w:rFonts w:eastAsia="Times New Roman"/>
        </w:rPr>
        <w:t>oteiktajos gadījumos ir Apvienotās Karalistes teritorija, t.i. trešā teritorija.</w:t>
      </w:r>
    </w:p>
    <w:p w:rsidR="007A1D16" w:rsidRDefault="00E342C6" w:rsidP="007A1D16">
      <w:pPr>
        <w:spacing w:after="0" w:line="240" w:lineRule="auto"/>
        <w:jc w:val="both"/>
      </w:pPr>
      <w:r w:rsidRPr="00E877A1">
        <w:rPr>
          <w:rFonts w:eastAsia="Times New Roman"/>
        </w:rPr>
        <w:t>Likuma 1.</w:t>
      </w:r>
      <w:r>
        <w:rPr>
          <w:rFonts w:eastAsia="Times New Roman"/>
        </w:rPr>
        <w:t> </w:t>
      </w:r>
      <w:r w:rsidRPr="00E877A1">
        <w:rPr>
          <w:rFonts w:eastAsia="Times New Roman"/>
        </w:rPr>
        <w:t>panta 3.</w:t>
      </w:r>
      <w:r>
        <w:rPr>
          <w:rFonts w:eastAsia="Times New Roman"/>
        </w:rPr>
        <w:t> </w:t>
      </w:r>
      <w:r w:rsidRPr="00E877A1">
        <w:rPr>
          <w:rFonts w:eastAsia="Times New Roman"/>
        </w:rPr>
        <w:t xml:space="preserve">punktā </w:t>
      </w:r>
      <w:r w:rsidRPr="00C7298C">
        <w:rPr>
          <w:rFonts w:eastAsia="Times New Roman"/>
        </w:rPr>
        <w:t xml:space="preserve">paredzēts atstāt normu, ka dalībvalsts teritorija ir </w:t>
      </w:r>
      <w:r>
        <w:rPr>
          <w:rFonts w:eastAsia="Times New Roman"/>
        </w:rPr>
        <w:t xml:space="preserve">ES dalībvalsts teritorija, izņemot trešās teritorijas, kā arī </w:t>
      </w:r>
      <w:r w:rsidRPr="00C7298C">
        <w:t xml:space="preserve">Apvienotās </w:t>
      </w:r>
      <w:r w:rsidRPr="00C7298C">
        <w:rPr>
          <w:rFonts w:eastAsia="Times New Roman"/>
        </w:rPr>
        <w:t>Karalistes Akrotiri (Ak</w:t>
      </w:r>
      <w:r w:rsidRPr="00C7298C">
        <w:rPr>
          <w:rFonts w:eastAsia="Times New Roman"/>
        </w:rPr>
        <w:t>rotiri) un Dekelijas (Dhekelia) suverēnās bāzu teritorijas, kuras nodokļa piemērošanas</w:t>
      </w:r>
      <w:r w:rsidRPr="00E877A1">
        <w:rPr>
          <w:rFonts w:eastAsia="Times New Roman"/>
        </w:rPr>
        <w:t xml:space="preserve"> nolūkā tiek uzskatītas par attiecīgi Francijas, Apvienotās Karalistes vai Kipras teritoriju.</w:t>
      </w:r>
      <w:r>
        <w:t xml:space="preserve"> </w:t>
      </w:r>
    </w:p>
    <w:p w:rsidR="007A1D16" w:rsidRDefault="00E342C6" w:rsidP="007A1D16">
      <w:pPr>
        <w:spacing w:after="0" w:line="240" w:lineRule="auto"/>
        <w:jc w:val="both"/>
      </w:pPr>
      <w:r w:rsidRPr="00BB3E81">
        <w:t>Lūdzam izvērtēt nepieciešamību pre</w:t>
      </w:r>
      <w:r>
        <w:t>cizēt likuma tekstu atbilstoši Brexit l</w:t>
      </w:r>
      <w:r w:rsidRPr="00BB3E81">
        <w:t>īg</w:t>
      </w:r>
      <w:r w:rsidRPr="00BB3E81">
        <w:t xml:space="preserve">uma </w:t>
      </w:r>
      <w:r w:rsidRPr="00E877A1">
        <w:t>3. panta 1. punkta “d” apakšpunktam vai papildināt anotācijas I sadaļas 8.</w:t>
      </w:r>
      <w:r>
        <w:t> </w:t>
      </w:r>
      <w:r w:rsidRPr="00E877A1">
        <w:t xml:space="preserve">punktu ar skaidrojumu, kāpēc Akrotiri un Dekeliju </w:t>
      </w:r>
      <w:r>
        <w:t>visos gadījumos (neatkarīgi no tā, vai tas ir nepieciešams konkrēto Brexit līgumā paredzēto pasākumu īstenošanai) ir nepiecieša</w:t>
      </w:r>
      <w:r>
        <w:t>ms īpaši izcelt kā teritorijas, kas nav trešās teritorijas.</w:t>
      </w:r>
      <w:r w:rsidRPr="000541DF">
        <w:t xml:space="preserve"> </w:t>
      </w:r>
    </w:p>
    <w:p w:rsidR="007A1D16" w:rsidRDefault="00E342C6" w:rsidP="007A1D16">
      <w:pPr>
        <w:pStyle w:val="ListParagraph"/>
        <w:numPr>
          <w:ilvl w:val="0"/>
          <w:numId w:val="15"/>
        </w:numPr>
        <w:spacing w:after="0" w:line="240" w:lineRule="auto"/>
        <w:jc w:val="both"/>
        <w:rPr>
          <w:rFonts w:ascii="Times New Roman" w:hAnsi="Times New Roman" w:cs="Times New Roman"/>
          <w:sz w:val="24"/>
          <w:szCs w:val="24"/>
        </w:rPr>
      </w:pPr>
      <w:r w:rsidRPr="00B205B2">
        <w:rPr>
          <w:rFonts w:ascii="Times New Roman" w:hAnsi="Times New Roman" w:cs="Times New Roman"/>
          <w:sz w:val="24"/>
          <w:szCs w:val="24"/>
        </w:rPr>
        <w:lastRenderedPageBreak/>
        <w:t>Par likuma 9.</w:t>
      </w:r>
      <w:r>
        <w:rPr>
          <w:rFonts w:ascii="Times New Roman" w:hAnsi="Times New Roman" w:cs="Times New Roman"/>
          <w:sz w:val="24"/>
          <w:szCs w:val="24"/>
        </w:rPr>
        <w:t> </w:t>
      </w:r>
      <w:r w:rsidRPr="00B205B2">
        <w:rPr>
          <w:rFonts w:ascii="Times New Roman" w:hAnsi="Times New Roman" w:cs="Times New Roman"/>
          <w:sz w:val="24"/>
          <w:szCs w:val="24"/>
        </w:rPr>
        <w:t xml:space="preserve">panta papildināšanu ar ceturto daļu, kas paredz, ka </w:t>
      </w:r>
      <w:r>
        <w:rPr>
          <w:rFonts w:ascii="Times New Roman" w:hAnsi="Times New Roman" w:cs="Times New Roman"/>
          <w:sz w:val="24"/>
          <w:szCs w:val="24"/>
        </w:rPr>
        <w:t>p</w:t>
      </w:r>
      <w:r w:rsidRPr="00B205B2">
        <w:rPr>
          <w:rFonts w:ascii="Times New Roman" w:hAnsi="Times New Roman" w:cs="Times New Roman"/>
          <w:sz w:val="24"/>
          <w:szCs w:val="24"/>
        </w:rPr>
        <w:t>ar preču iegādi Eiropas Savienības terit</w:t>
      </w:r>
      <w:r>
        <w:rPr>
          <w:rFonts w:ascii="Times New Roman" w:hAnsi="Times New Roman" w:cs="Times New Roman"/>
          <w:sz w:val="24"/>
          <w:szCs w:val="24"/>
        </w:rPr>
        <w:t xml:space="preserve">orijā par atlīdzību uzskata arī: </w:t>
      </w:r>
    </w:p>
    <w:p w:rsidR="007A1D16" w:rsidRPr="00FC4537" w:rsidRDefault="00E342C6" w:rsidP="007A1D16">
      <w:pPr>
        <w:pStyle w:val="ListParagraph"/>
        <w:numPr>
          <w:ilvl w:val="0"/>
          <w:numId w:val="13"/>
        </w:numPr>
        <w:spacing w:after="0" w:line="240" w:lineRule="auto"/>
        <w:jc w:val="both"/>
        <w:rPr>
          <w:rFonts w:ascii="Times New Roman" w:hAnsi="Times New Roman" w:cs="Times New Roman"/>
          <w:sz w:val="24"/>
          <w:szCs w:val="24"/>
        </w:rPr>
      </w:pPr>
      <w:r w:rsidRPr="00B205B2">
        <w:rPr>
          <w:rFonts w:ascii="Times New Roman" w:hAnsi="Times New Roman" w:cs="Times New Roman"/>
          <w:sz w:val="24"/>
          <w:szCs w:val="24"/>
        </w:rPr>
        <w:t xml:space="preserve">tādu preču nosūtīšanu vai transportēšanu no citas </w:t>
      </w:r>
      <w:r w:rsidRPr="00B205B2">
        <w:rPr>
          <w:rFonts w:ascii="Times New Roman" w:hAnsi="Times New Roman" w:cs="Times New Roman"/>
          <w:sz w:val="24"/>
          <w:szCs w:val="24"/>
        </w:rPr>
        <w:t>dalībvalsts uz iekšzemi, ko izmanto Latvijas Republikas Nacionālo bruņoto spēku</w:t>
      </w:r>
      <w:r>
        <w:rPr>
          <w:rFonts w:ascii="Times New Roman" w:hAnsi="Times New Roman" w:cs="Times New Roman"/>
          <w:sz w:val="24"/>
          <w:szCs w:val="24"/>
        </w:rPr>
        <w:t xml:space="preserve"> (turpmāk – Latvijas NBS)</w:t>
      </w:r>
      <w:r w:rsidRPr="00B205B2">
        <w:rPr>
          <w:rFonts w:ascii="Times New Roman" w:hAnsi="Times New Roman" w:cs="Times New Roman"/>
          <w:sz w:val="24"/>
          <w:szCs w:val="24"/>
        </w:rPr>
        <w:t>, tai skaitā pavadošā civilā personāla vajadzībām, ja šo preču iegāde vai piegāde ir notikusi citā dalībvalstī, un tā nepiemēroja atbrīvojumu no nodokļa</w:t>
      </w:r>
      <w:r w:rsidRPr="00B205B2">
        <w:rPr>
          <w:rFonts w:ascii="Times New Roman" w:hAnsi="Times New Roman" w:cs="Times New Roman"/>
          <w:sz w:val="24"/>
          <w:szCs w:val="24"/>
        </w:rPr>
        <w:t xml:space="preserve">, </w:t>
      </w:r>
      <w:r w:rsidRPr="00FC4537">
        <w:rPr>
          <w:rFonts w:ascii="Times New Roman" w:hAnsi="Times New Roman" w:cs="Times New Roman"/>
          <w:sz w:val="24"/>
          <w:szCs w:val="24"/>
          <w:u w:val="single"/>
        </w:rPr>
        <w:t>vai</w:t>
      </w:r>
      <w:r w:rsidRPr="00FC4537">
        <w:rPr>
          <w:rFonts w:ascii="Times New Roman" w:hAnsi="Times New Roman" w:cs="Times New Roman"/>
          <w:sz w:val="24"/>
          <w:szCs w:val="24"/>
        </w:rPr>
        <w:t xml:space="preserve"> šīs preces importējot citā dalībvalstī, importa brīdī tā </w:t>
      </w:r>
      <w:r w:rsidRPr="00FC4537">
        <w:rPr>
          <w:rFonts w:ascii="Times New Roman" w:hAnsi="Times New Roman" w:cs="Times New Roman"/>
          <w:sz w:val="24"/>
          <w:szCs w:val="24"/>
          <w:u w:val="single"/>
        </w:rPr>
        <w:t>nepiemēroja</w:t>
      </w:r>
      <w:r w:rsidRPr="00FC4537">
        <w:rPr>
          <w:rFonts w:ascii="Times New Roman" w:hAnsi="Times New Roman" w:cs="Times New Roman"/>
          <w:sz w:val="24"/>
          <w:szCs w:val="24"/>
        </w:rPr>
        <w:t xml:space="preserve"> atbrīvojumu no nodokļa.”</w:t>
      </w:r>
    </w:p>
    <w:p w:rsidR="007A1D16" w:rsidRDefault="00E342C6" w:rsidP="007A1D16">
      <w:pPr>
        <w:spacing w:after="0" w:line="240" w:lineRule="auto"/>
        <w:jc w:val="both"/>
      </w:pPr>
      <w:r>
        <w:t>Direktīvas 2019/2235 1. pants, ar ko groza Direktīvas 2006/112/EK 22. pantu, paredzot jaunu daļu, reglamentē preču iegādi Kopienas iekšienē par atlīdzību, v</w:t>
      </w:r>
      <w:r>
        <w:t>ienlaikus uzsverot jeb uzliekot nosacījumu: “</w:t>
      </w:r>
      <w:r w:rsidRPr="008C6ADC">
        <w:rPr>
          <w:u w:val="single"/>
        </w:rPr>
        <w:t>ja</w:t>
      </w:r>
      <w:r>
        <w:t xml:space="preserve"> uz šo preču importu </w:t>
      </w:r>
      <w:r w:rsidRPr="008C6ADC">
        <w:rPr>
          <w:u w:val="single"/>
        </w:rPr>
        <w:t>nevar attiecināt</w:t>
      </w:r>
      <w:r>
        <w:t xml:space="preserve"> 143.panta 1.punkta “ga” apakšpunktā paredzēto atbrīvojumu no nodokļa”</w:t>
      </w:r>
      <w:r w:rsidR="00B93343">
        <w:t>, un atrunā, ka norma attiecas un precēm “kuras tie nav pirkuši saskaņā ar vispārīgiem noteikumiem”. Ja “vispārīgie noteikumi” – ir “parastā” nodokļa piemērošanas prakse (kas nav izņēmumu kārtība, kas paredz atbrīvojumus no nodokļa) t.i. tā ir aplikšana ar nodokli, tad “nav pirkuši saskaņā ar vispārīgiem noteikumiem” – nozīmē pirkumu, nepiemērojot nodokļa atbrīvojumu.</w:t>
      </w:r>
      <w:r>
        <w:t xml:space="preserve">. </w:t>
      </w:r>
    </w:p>
    <w:p w:rsidR="007A1D16" w:rsidRDefault="00E342C6" w:rsidP="007A1D16">
      <w:pPr>
        <w:spacing w:line="240" w:lineRule="auto"/>
        <w:jc w:val="both"/>
      </w:pPr>
      <w:r>
        <w:t>Attiecīgi vēršam uzmanību, ka precizētais Direktīvas 2006/112/EK 22. pants, kas ir pamats likuma 9. panta papildināšanai ar ceturto daļu, paredz nevis divus variantus – viens – par iegādi citā dalībvalstī, otrs – par importu, kā to pašlaik p</w:t>
      </w:r>
      <w:r>
        <w:t>aredzēts iestrādāt ar grozījumiem likumā, bet paredz atsauci uz importu kā uz nosacījumu (izmantots saiklis “ja” nevis “vai” vai “un”). Turklāt, “nevar attiecināt” (neatkarīgi no tā, vai piemēroja, jāvērtē, vai atbrīvojums pēc būtības ir attiecināms) nav t</w:t>
      </w:r>
      <w:r>
        <w:t>as pats, kas “nepiemēroja” (kāda iemesla dēļ (aizmirsa, nepaspēja utt.) nepiemēroja, lai arī atbrīvojums pienākas).</w:t>
      </w:r>
      <w:r w:rsidR="009E4D38" w:rsidRPr="009E4D38">
        <w:t xml:space="preserve"> </w:t>
      </w:r>
      <w:r w:rsidR="009E4D38">
        <w:t xml:space="preserve">Bez tam likumā paredzētais nosacījums saistīts ar iegādi, nepiemērojot atbrīvojumu no nodokļa, kamēr Direktīvā ir runa par situāciju, kad atbrīvojums tika piemērots.  </w:t>
      </w:r>
      <w:r>
        <w:t xml:space="preserve"> Līdz ar to lūdzam izvērtēt nepieciešamību precizēt 9. panta jauno normu (kā arī attiecīgo informāciju anotācijā) atbilstoši Direktīvas 2006/112/EK 22. pantam vai izslēgt, ja tā izriet no citām likuma normām, piemēram, likuma 34.</w:t>
      </w:r>
      <w:r>
        <w:t> panta piektās daļas.</w:t>
      </w:r>
    </w:p>
    <w:p w:rsidR="007A1D16" w:rsidRPr="00536338" w:rsidRDefault="007A1D16" w:rsidP="007A1D16">
      <w:pPr>
        <w:spacing w:after="0" w:line="240" w:lineRule="auto"/>
        <w:ind w:left="113" w:right="113" w:firstLine="265"/>
        <w:jc w:val="both"/>
        <w:rPr>
          <w:bCs/>
        </w:rPr>
      </w:pPr>
    </w:p>
    <w:bookmarkEnd w:id="0"/>
    <w:p w:rsidR="007A1D16" w:rsidRPr="00661C8F" w:rsidRDefault="007A1D16" w:rsidP="007A1D16">
      <w:pPr>
        <w:spacing w:after="0" w:line="240" w:lineRule="auto"/>
        <w:jc w:val="both"/>
      </w:pPr>
    </w:p>
    <w:p w:rsidR="007A1D16" w:rsidRPr="00661C8F" w:rsidRDefault="007A1D16" w:rsidP="007A1D16">
      <w:pPr>
        <w:spacing w:after="0" w:line="240" w:lineRule="auto"/>
        <w:jc w:val="both"/>
      </w:pPr>
    </w:p>
    <w:p w:rsidR="007A1D16" w:rsidRPr="00661C8F" w:rsidRDefault="007A1D16" w:rsidP="007A1D16">
      <w:pPr>
        <w:tabs>
          <w:tab w:val="left" w:pos="6663"/>
        </w:tabs>
        <w:spacing w:after="0" w:line="240" w:lineRule="auto"/>
        <w:jc w:val="both"/>
      </w:pPr>
    </w:p>
    <w:p w:rsidR="007A1D16" w:rsidRDefault="007A1D16" w:rsidP="007A1D16">
      <w:pPr>
        <w:tabs>
          <w:tab w:val="left" w:pos="6663"/>
        </w:tabs>
        <w:spacing w:after="0" w:line="240" w:lineRule="auto"/>
        <w:jc w:val="both"/>
        <w:rPr>
          <w:b/>
          <w:noProof/>
        </w:rPr>
      </w:pPr>
    </w:p>
    <w:p w:rsidR="007A1D16" w:rsidRPr="0005708E" w:rsidRDefault="00E342C6" w:rsidP="007A1D16">
      <w:pPr>
        <w:tabs>
          <w:tab w:val="left" w:pos="6663"/>
        </w:tabs>
        <w:spacing w:after="0" w:line="240" w:lineRule="auto"/>
        <w:jc w:val="both"/>
        <w:rPr>
          <w:b/>
          <w:noProof/>
        </w:rPr>
      </w:pPr>
      <w:r w:rsidRPr="0005708E">
        <w:rPr>
          <w:b/>
          <w:noProof/>
        </w:rPr>
        <w:t>Valsts sekretārs</w:t>
      </w:r>
      <w:r w:rsidRPr="0005708E">
        <w:rPr>
          <w:b/>
        </w:rPr>
        <w:tab/>
      </w:r>
      <w:r w:rsidRPr="0005708E">
        <w:rPr>
          <w:b/>
          <w:noProof/>
        </w:rPr>
        <w:t>Jānis Garisons</w:t>
      </w:r>
    </w:p>
    <w:p w:rsidR="007A1D16" w:rsidRDefault="007A1D16" w:rsidP="007A1D16">
      <w:pPr>
        <w:tabs>
          <w:tab w:val="left" w:pos="6663"/>
        </w:tabs>
        <w:spacing w:after="0" w:line="240" w:lineRule="auto"/>
        <w:jc w:val="both"/>
      </w:pPr>
    </w:p>
    <w:p w:rsidR="007A1D16" w:rsidRDefault="007A1D16" w:rsidP="007A1D16">
      <w:pPr>
        <w:tabs>
          <w:tab w:val="left" w:pos="6663"/>
        </w:tabs>
        <w:spacing w:after="0" w:line="240" w:lineRule="auto"/>
        <w:jc w:val="both"/>
        <w:rPr>
          <w:sz w:val="16"/>
          <w:szCs w:val="16"/>
        </w:rPr>
      </w:pPr>
    </w:p>
    <w:p w:rsidR="007A1D16" w:rsidRDefault="007A1D16" w:rsidP="007A1D16">
      <w:pPr>
        <w:tabs>
          <w:tab w:val="left" w:pos="6663"/>
        </w:tabs>
        <w:spacing w:after="0" w:line="240" w:lineRule="auto"/>
        <w:jc w:val="both"/>
        <w:rPr>
          <w:sz w:val="16"/>
          <w:szCs w:val="16"/>
        </w:rPr>
      </w:pPr>
    </w:p>
    <w:p w:rsidR="007A1D16" w:rsidRPr="002E5F85" w:rsidRDefault="00E342C6" w:rsidP="007A1D16">
      <w:pPr>
        <w:tabs>
          <w:tab w:val="left" w:pos="6663"/>
        </w:tabs>
        <w:spacing w:after="0" w:line="240" w:lineRule="auto"/>
        <w:jc w:val="both"/>
        <w:rPr>
          <w:sz w:val="16"/>
          <w:szCs w:val="16"/>
        </w:rPr>
      </w:pPr>
      <w:r w:rsidRPr="002E5F85">
        <w:rPr>
          <w:sz w:val="16"/>
          <w:szCs w:val="16"/>
        </w:rPr>
        <w:t>Anželika Niķitina,</w:t>
      </w:r>
    </w:p>
    <w:p w:rsidR="007A1D16" w:rsidRPr="002E5F85" w:rsidRDefault="00E342C6" w:rsidP="007A1D16">
      <w:pPr>
        <w:tabs>
          <w:tab w:val="left" w:pos="6663"/>
        </w:tabs>
        <w:spacing w:after="0" w:line="240" w:lineRule="auto"/>
        <w:jc w:val="both"/>
        <w:rPr>
          <w:sz w:val="16"/>
          <w:szCs w:val="16"/>
        </w:rPr>
      </w:pPr>
      <w:hyperlink r:id="rId8" w:history="1">
        <w:r w:rsidRPr="002E5F85">
          <w:rPr>
            <w:rStyle w:val="Hyperlink"/>
            <w:sz w:val="16"/>
            <w:szCs w:val="16"/>
          </w:rPr>
          <w:t>Anzelika.nikitina@mod.gov.lv</w:t>
        </w:r>
      </w:hyperlink>
      <w:r w:rsidRPr="002E5F85">
        <w:rPr>
          <w:sz w:val="16"/>
          <w:szCs w:val="16"/>
        </w:rPr>
        <w:t xml:space="preserve"> </w:t>
      </w:r>
    </w:p>
    <w:p w:rsidR="007A1D16" w:rsidRPr="002E5F85" w:rsidRDefault="007A1D16" w:rsidP="007A1D16">
      <w:pPr>
        <w:tabs>
          <w:tab w:val="left" w:pos="6663"/>
        </w:tabs>
        <w:spacing w:after="0" w:line="240" w:lineRule="auto"/>
        <w:jc w:val="both"/>
        <w:rPr>
          <w:sz w:val="16"/>
          <w:szCs w:val="16"/>
        </w:rPr>
      </w:pPr>
    </w:p>
    <w:p w:rsidR="007A1D16" w:rsidRPr="002E5F85" w:rsidRDefault="00E342C6" w:rsidP="007A1D16">
      <w:pPr>
        <w:tabs>
          <w:tab w:val="left" w:pos="6663"/>
        </w:tabs>
        <w:spacing w:after="0" w:line="240" w:lineRule="auto"/>
        <w:jc w:val="both"/>
        <w:rPr>
          <w:sz w:val="16"/>
          <w:szCs w:val="16"/>
        </w:rPr>
      </w:pPr>
      <w:r w:rsidRPr="002E5F85">
        <w:rPr>
          <w:sz w:val="16"/>
          <w:szCs w:val="16"/>
        </w:rPr>
        <w:t>Inta Spri</w:t>
      </w:r>
      <w:r>
        <w:rPr>
          <w:sz w:val="16"/>
          <w:szCs w:val="16"/>
        </w:rPr>
        <w:t>ņģ</w:t>
      </w:r>
      <w:r w:rsidRPr="002E5F85">
        <w:rPr>
          <w:sz w:val="16"/>
          <w:szCs w:val="16"/>
        </w:rPr>
        <w:t>e</w:t>
      </w:r>
    </w:p>
    <w:p w:rsidR="007A1D16" w:rsidRPr="002E5F85" w:rsidRDefault="00E342C6" w:rsidP="007A1D16">
      <w:pPr>
        <w:tabs>
          <w:tab w:val="left" w:pos="6663"/>
        </w:tabs>
        <w:spacing w:after="0" w:line="240" w:lineRule="auto"/>
        <w:jc w:val="both"/>
        <w:rPr>
          <w:sz w:val="16"/>
          <w:szCs w:val="16"/>
        </w:rPr>
      </w:pPr>
      <w:hyperlink r:id="rId9" w:history="1">
        <w:r w:rsidRPr="002E5F85">
          <w:rPr>
            <w:rStyle w:val="Hyperlink"/>
            <w:sz w:val="16"/>
            <w:szCs w:val="16"/>
          </w:rPr>
          <w:t>Inta.springe@mod.gov.lv</w:t>
        </w:r>
      </w:hyperlink>
      <w:r w:rsidRPr="002E5F85">
        <w:rPr>
          <w:sz w:val="16"/>
          <w:szCs w:val="16"/>
        </w:rPr>
        <w:t xml:space="preserve"> </w:t>
      </w:r>
    </w:p>
    <w:p w:rsidR="007A1D16" w:rsidRPr="002E5F85" w:rsidRDefault="007A1D16" w:rsidP="007A1D16">
      <w:pPr>
        <w:spacing w:after="0" w:line="240" w:lineRule="auto"/>
        <w:jc w:val="both"/>
        <w:rPr>
          <w:noProof/>
          <w:sz w:val="16"/>
          <w:szCs w:val="16"/>
        </w:rPr>
      </w:pPr>
    </w:p>
    <w:p w:rsidR="007A1D16" w:rsidRPr="002E5F85" w:rsidRDefault="007A1D16" w:rsidP="007A1D16">
      <w:pPr>
        <w:spacing w:after="0" w:line="240" w:lineRule="auto"/>
        <w:jc w:val="both"/>
        <w:rPr>
          <w:noProof/>
          <w:sz w:val="16"/>
          <w:szCs w:val="16"/>
        </w:rPr>
      </w:pPr>
    </w:p>
    <w:p w:rsidR="007A1D16" w:rsidRPr="002E5F85" w:rsidRDefault="00E342C6" w:rsidP="007A1D16">
      <w:pPr>
        <w:spacing w:after="0" w:line="240" w:lineRule="auto"/>
        <w:jc w:val="both"/>
        <w:rPr>
          <w:sz w:val="16"/>
          <w:szCs w:val="16"/>
        </w:rPr>
      </w:pPr>
      <w:r w:rsidRPr="002E5F85">
        <w:rPr>
          <w:noProof/>
          <w:sz w:val="16"/>
          <w:szCs w:val="16"/>
        </w:rPr>
        <w:t>Helēna Brinkmane</w:t>
      </w:r>
      <w:r w:rsidRPr="002E5F85">
        <w:rPr>
          <w:sz w:val="16"/>
          <w:szCs w:val="16"/>
        </w:rPr>
        <w:t xml:space="preserve">, </w:t>
      </w:r>
      <w:r w:rsidRPr="002E5F85">
        <w:rPr>
          <w:noProof/>
          <w:sz w:val="16"/>
          <w:szCs w:val="16"/>
        </w:rPr>
        <w:t>67335233</w:t>
      </w:r>
    </w:p>
    <w:p w:rsidR="007A1D16" w:rsidRPr="002E5F85" w:rsidRDefault="00E342C6" w:rsidP="007A1D16">
      <w:pPr>
        <w:spacing w:after="0" w:line="240" w:lineRule="auto"/>
        <w:jc w:val="both"/>
        <w:rPr>
          <w:sz w:val="16"/>
          <w:szCs w:val="16"/>
        </w:rPr>
      </w:pPr>
      <w:hyperlink r:id="rId10" w:history="1">
        <w:r w:rsidRPr="002E5F85">
          <w:rPr>
            <w:rStyle w:val="Hyperlink"/>
            <w:noProof/>
            <w:sz w:val="16"/>
            <w:szCs w:val="16"/>
          </w:rPr>
          <w:t>Helena.Brinkmane@mod.gov.lv</w:t>
        </w:r>
      </w:hyperlink>
      <w:r w:rsidRPr="002E5F85">
        <w:rPr>
          <w:noProof/>
          <w:sz w:val="16"/>
          <w:szCs w:val="16"/>
        </w:rPr>
        <w:t xml:space="preserve"> </w:t>
      </w:r>
    </w:p>
    <w:p w:rsidR="00661C8F" w:rsidRPr="002E5F85" w:rsidRDefault="00661C8F" w:rsidP="007A1D16">
      <w:pPr>
        <w:spacing w:after="0" w:line="240" w:lineRule="auto"/>
        <w:jc w:val="both"/>
        <w:rPr>
          <w:sz w:val="16"/>
          <w:szCs w:val="16"/>
        </w:rPr>
      </w:pPr>
    </w:p>
    <w:sectPr w:rsidR="00661C8F" w:rsidRPr="002E5F85" w:rsidSect="007A1D16">
      <w:footerReference w:type="default" r:id="rId11"/>
      <w:headerReference w:type="first" r:id="rId12"/>
      <w:footerReference w:type="first" r:id="rId13"/>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342C6">
      <w:pPr>
        <w:spacing w:after="0" w:line="240" w:lineRule="auto"/>
      </w:pPr>
      <w:r>
        <w:separator/>
      </w:r>
    </w:p>
  </w:endnote>
  <w:endnote w:type="continuationSeparator" w:id="0">
    <w:p w:rsidR="00000000" w:rsidRDefault="00E3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1" w:usb1="00000000" w:usb2="00000000" w:usb3="00000000" w:csb0="00000003" w:csb1="00000000"/>
  </w:font>
  <w:font w:name="TimesNewRomanPS-ItalicMT">
    <w:altName w:val="Times New Roman"/>
    <w:charset w:val="00"/>
    <w:family w:val="auto"/>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169311"/>
      <w:docPartObj>
        <w:docPartGallery w:val="Page Numbers (Bottom of Page)"/>
        <w:docPartUnique/>
      </w:docPartObj>
    </w:sdtPr>
    <w:sdtEndPr/>
    <w:sdtContent>
      <w:p w:rsidR="00104688" w:rsidRDefault="00E342C6" w:rsidP="00104688">
        <w:pPr>
          <w:pStyle w:val="Footer"/>
          <w:jc w:val="center"/>
        </w:pPr>
        <w:r w:rsidRPr="002D7FAB">
          <w:rPr>
            <w:rFonts w:ascii="TimesNewRomanPS-ItalicMT" w:hAnsi="TimesNewRomanPS-ItalicMT"/>
            <w:iCs/>
            <w:sz w:val="20"/>
            <w:szCs w:val="20"/>
          </w:rPr>
          <w:t xml:space="preserve">DOKUMENTS IR ELEKTRONISKI PARAKSTĪTS AR DROŠU ELEKTRONISKO PARAKSTU UN SATUR </w:t>
        </w:r>
        <w:r w:rsidRPr="002D7FAB">
          <w:rPr>
            <w:rFonts w:ascii="TimesNewRomanPS-ItalicMT" w:hAnsi="TimesNewRomanPS-ItalicMT"/>
            <w:iCs/>
            <w:sz w:val="20"/>
            <w:szCs w:val="20"/>
          </w:rPr>
          <w:t>LAIKA ZĪMOGU</w:t>
        </w:r>
      </w:p>
      <w:p w:rsidR="00104688" w:rsidRPr="00104688" w:rsidRDefault="00E342C6" w:rsidP="00104688">
        <w:pPr>
          <w:pStyle w:val="Footer"/>
          <w:jc w:val="right"/>
          <w:rPr>
            <w:bCs/>
          </w:rPr>
        </w:pPr>
        <w:sdt>
          <w:sdtPr>
            <w:id w:val="1008635196"/>
            <w:docPartObj>
              <w:docPartGallery w:val="Page Numbers (Top of Page)"/>
              <w:docPartUnique/>
            </w:docPartObj>
          </w:sdtPr>
          <w:sdtEndPr/>
          <w:sdtContent>
            <w:r w:rsidR="002005E2" w:rsidRPr="00104688">
              <w:rPr>
                <w:bCs/>
              </w:rPr>
              <w:fldChar w:fldCharType="begin"/>
            </w:r>
            <w:r w:rsidR="002005E2" w:rsidRPr="00104688">
              <w:rPr>
                <w:bCs/>
              </w:rPr>
              <w:instrText xml:space="preserve"> PAGE </w:instrText>
            </w:r>
            <w:r w:rsidR="002005E2" w:rsidRPr="00104688">
              <w:rPr>
                <w:bCs/>
              </w:rPr>
              <w:fldChar w:fldCharType="separate"/>
            </w:r>
            <w:r>
              <w:rPr>
                <w:bCs/>
                <w:noProof/>
              </w:rPr>
              <w:t>4</w:t>
            </w:r>
            <w:r w:rsidR="002005E2" w:rsidRPr="00104688">
              <w:rPr>
                <w:bCs/>
              </w:rPr>
              <w:fldChar w:fldCharType="end"/>
            </w:r>
            <w:r w:rsidR="002005E2" w:rsidRPr="00104688">
              <w:t xml:space="preserve"> - </w:t>
            </w:r>
            <w:r w:rsidR="002005E2" w:rsidRPr="00104688">
              <w:rPr>
                <w:bCs/>
              </w:rPr>
              <w:fldChar w:fldCharType="begin"/>
            </w:r>
            <w:r w:rsidR="002005E2" w:rsidRPr="00104688">
              <w:rPr>
                <w:bCs/>
              </w:rPr>
              <w:instrText xml:space="preserve"> NUMPAGES  </w:instrText>
            </w:r>
            <w:r w:rsidR="002005E2" w:rsidRPr="00104688">
              <w:rPr>
                <w:bCs/>
              </w:rPr>
              <w:fldChar w:fldCharType="separate"/>
            </w:r>
            <w:r>
              <w:rPr>
                <w:bCs/>
                <w:noProof/>
              </w:rPr>
              <w:t>5</w:t>
            </w:r>
            <w:r w:rsidR="002005E2" w:rsidRPr="00104688">
              <w:rPr>
                <w:bCs/>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24" w:rsidRPr="00661C8F" w:rsidRDefault="00E342C6" w:rsidP="00661C8F">
    <w:pPr>
      <w:spacing w:after="0" w:line="240" w:lineRule="auto"/>
      <w:jc w:val="center"/>
    </w:pPr>
    <w:r w:rsidRPr="002D7FAB">
      <w:rPr>
        <w:rFonts w:ascii="TimesNewRomanPS-ItalicMT" w:hAnsi="TimesNewRomanPS-ItalicMT"/>
        <w:iCs/>
        <w:sz w:val="20"/>
        <w:szCs w:val="20"/>
      </w:rPr>
      <w:t xml:space="preserve">DOKUMENTS IR ELEKTRONISKI </w:t>
    </w:r>
    <w:r w:rsidRPr="002D7FAB">
      <w:rPr>
        <w:rFonts w:ascii="TimesNewRomanPS-ItalicMT" w:hAnsi="TimesNewRomanPS-ItalicMT"/>
        <w:iCs/>
        <w:sz w:val="20"/>
        <w:szCs w:val="20"/>
      </w:rPr>
      <w:t>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717" w:rsidRDefault="00E342C6">
      <w:pPr>
        <w:spacing w:after="0" w:line="240" w:lineRule="auto"/>
      </w:pPr>
      <w:r>
        <w:separator/>
      </w:r>
    </w:p>
  </w:footnote>
  <w:footnote w:type="continuationSeparator" w:id="0">
    <w:p w:rsidR="00EC2717" w:rsidRDefault="00E342C6">
      <w:pPr>
        <w:spacing w:after="0" w:line="240" w:lineRule="auto"/>
      </w:pPr>
      <w:r>
        <w:continuationSeparator/>
      </w:r>
    </w:p>
  </w:footnote>
  <w:footnote w:id="1">
    <w:p w:rsidR="007A1D16" w:rsidRPr="00612453" w:rsidRDefault="00E342C6" w:rsidP="007A1D16">
      <w:pPr>
        <w:jc w:val="both"/>
        <w:rPr>
          <w:rFonts w:eastAsia="Times New Roman"/>
          <w:sz w:val="20"/>
          <w:szCs w:val="20"/>
        </w:rPr>
      </w:pPr>
      <w:r w:rsidRPr="00612453">
        <w:rPr>
          <w:rStyle w:val="FootnoteReference"/>
          <w:sz w:val="20"/>
          <w:szCs w:val="20"/>
        </w:rPr>
        <w:footnoteRef/>
      </w:r>
      <w:r w:rsidRPr="00612453">
        <w:rPr>
          <w:sz w:val="20"/>
          <w:szCs w:val="20"/>
        </w:rPr>
        <w:t xml:space="preserve"> </w:t>
      </w:r>
      <w:r w:rsidRPr="00612453">
        <w:rPr>
          <w:rFonts w:eastAsia="Times New Roman"/>
          <w:bCs/>
          <w:sz w:val="20"/>
          <w:szCs w:val="20"/>
        </w:rPr>
        <w:t xml:space="preserve">Ministru kabineta </w:t>
      </w:r>
      <w:r w:rsidRPr="00612453">
        <w:rPr>
          <w:rFonts w:eastAsia="Times New Roman"/>
          <w:sz w:val="20"/>
          <w:szCs w:val="20"/>
        </w:rPr>
        <w:t xml:space="preserve">2012.gada 18.decembra </w:t>
      </w:r>
      <w:r w:rsidRPr="00612453">
        <w:rPr>
          <w:rFonts w:eastAsia="Times New Roman"/>
          <w:bCs/>
          <w:sz w:val="20"/>
          <w:szCs w:val="20"/>
        </w:rPr>
        <w:t>noteikumi Nr.908</w:t>
      </w:r>
      <w:r w:rsidRPr="00612453">
        <w:rPr>
          <w:rFonts w:eastAsia="Times New Roman"/>
          <w:sz w:val="20"/>
          <w:szCs w:val="20"/>
        </w:rPr>
        <w:t xml:space="preserve"> “Kārtība, kādā piemēro pievienotās vērtības nodokļa 0 procentu likmi preču piegādēm un pakalpojumiem, kas sniegti diplomātiskajām</w:t>
      </w:r>
      <w:r w:rsidRPr="00612453">
        <w:rPr>
          <w:rFonts w:eastAsia="Times New Roman"/>
          <w:sz w:val="20"/>
          <w:szCs w:val="20"/>
        </w:rPr>
        <w:t xml:space="preserve"> un konsulārajām pārstāvniecībām, starptautiskajām organizācijām, Eiropas Savienības institūcijām un Ziemeļatlantijas līguma organizācijai (NATO), un kārtība, kādā atmaksā akcīzes nodokli par Latvijas Republikā iegādātajām akcīzes precēm un piemēro akcīzes</w:t>
      </w:r>
      <w:r w:rsidRPr="00612453">
        <w:rPr>
          <w:rFonts w:eastAsia="Times New Roman"/>
          <w:sz w:val="20"/>
          <w:szCs w:val="20"/>
        </w:rPr>
        <w:t xml:space="preserve"> nodokļa atbrīvojumu”</w:t>
      </w:r>
    </w:p>
    <w:p w:rsidR="007A1D16" w:rsidRDefault="007A1D16" w:rsidP="007A1D16">
      <w:pPr>
        <w:pStyle w:val="FootnoteText"/>
      </w:pPr>
    </w:p>
  </w:footnote>
  <w:footnote w:id="2">
    <w:p w:rsidR="007A1D16" w:rsidRDefault="00E342C6" w:rsidP="007A1D16">
      <w:pPr>
        <w:pStyle w:val="FootnoteText"/>
      </w:pPr>
      <w:r>
        <w:rPr>
          <w:rStyle w:val="FootnoteReference"/>
        </w:rPr>
        <w:footnoteRef/>
      </w:r>
      <w:r>
        <w:t xml:space="preserve"> </w:t>
      </w:r>
      <w:hyperlink r:id="rId1" w:history="1">
        <w:r w:rsidRPr="00635A55">
          <w:rPr>
            <w:rStyle w:val="Hyperlink"/>
          </w:rPr>
          <w:t>https://circabc.europa.eu/sd/a/77219700-3f55-49</w:t>
        </w:r>
        <w:r w:rsidRPr="00635A55">
          <w:rPr>
            <w:rStyle w:val="Hyperlink"/>
          </w:rPr>
          <w:t>28-851f-c7817f1d277f/897%20-%20Exemptions%20Acquisitions%20made%20under%20diplomatic%20and%20consular%20arrangements.pdf</w:t>
        </w:r>
      </w:hyperlink>
      <w:r>
        <w:t xml:space="preserve"> </w:t>
      </w:r>
    </w:p>
  </w:footnote>
  <w:footnote w:id="3">
    <w:p w:rsidR="002F4357" w:rsidRPr="00612453" w:rsidRDefault="00E342C6" w:rsidP="002F4357">
      <w:pPr>
        <w:jc w:val="both"/>
        <w:rPr>
          <w:rFonts w:eastAsia="Times New Roman"/>
          <w:sz w:val="20"/>
          <w:szCs w:val="20"/>
        </w:rPr>
      </w:pPr>
      <w:r w:rsidRPr="00612453">
        <w:rPr>
          <w:rStyle w:val="FootnoteReference"/>
          <w:sz w:val="20"/>
          <w:szCs w:val="20"/>
        </w:rPr>
        <w:footnoteRef/>
      </w:r>
      <w:r w:rsidRPr="00612453">
        <w:rPr>
          <w:sz w:val="20"/>
          <w:szCs w:val="20"/>
        </w:rPr>
        <w:t xml:space="preserve"> </w:t>
      </w:r>
      <w:r w:rsidRPr="00612453">
        <w:rPr>
          <w:rFonts w:eastAsia="Times New Roman"/>
          <w:bCs/>
          <w:sz w:val="20"/>
          <w:szCs w:val="20"/>
        </w:rPr>
        <w:t xml:space="preserve">Ministru kabineta </w:t>
      </w:r>
      <w:r w:rsidRPr="00612453">
        <w:rPr>
          <w:rFonts w:eastAsia="Times New Roman"/>
          <w:sz w:val="20"/>
          <w:szCs w:val="20"/>
        </w:rPr>
        <w:t xml:space="preserve">2012.gada 18.decembra </w:t>
      </w:r>
      <w:r w:rsidRPr="00612453">
        <w:rPr>
          <w:rFonts w:eastAsia="Times New Roman"/>
          <w:bCs/>
          <w:sz w:val="20"/>
          <w:szCs w:val="20"/>
        </w:rPr>
        <w:t>noteikumi Nr.908</w:t>
      </w:r>
      <w:r w:rsidRPr="00612453">
        <w:rPr>
          <w:rFonts w:eastAsia="Times New Roman"/>
          <w:sz w:val="20"/>
          <w:szCs w:val="20"/>
        </w:rPr>
        <w:t xml:space="preserve"> “Kārtība, kādā piemēro pievienotās vērtības nodokļa 0 procentu likmi preču </w:t>
      </w:r>
      <w:r w:rsidRPr="00612453">
        <w:rPr>
          <w:rFonts w:eastAsia="Times New Roman"/>
          <w:sz w:val="20"/>
          <w:szCs w:val="20"/>
        </w:rPr>
        <w:t>piegādēm un pakalpojumiem, kas sniegti diplomātiskajām un konsulārajām pārstāvniecībām, starptautiskajām organizācijām, Eiropas Savienības institūcijām un Ziemeļatlantijas līguma organizācijai (NATO), un kārtība, kādā atmaksā akcīzes nodokli par Latvijas R</w:t>
      </w:r>
      <w:r w:rsidRPr="00612453">
        <w:rPr>
          <w:rFonts w:eastAsia="Times New Roman"/>
          <w:sz w:val="20"/>
          <w:szCs w:val="20"/>
        </w:rPr>
        <w:t>epublikā iegādātajām akcīzes precēm un piemēro akcīzes nodokļa atbrīvojumu”</w:t>
      </w:r>
    </w:p>
    <w:p w:rsidR="002F4357" w:rsidRDefault="002F4357" w:rsidP="002F435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B61" w:rsidRDefault="000A0B61" w:rsidP="00BE56C2">
    <w:pPr>
      <w:pStyle w:val="Header"/>
      <w:tabs>
        <w:tab w:val="clear" w:pos="4320"/>
      </w:tabs>
      <w:spacing w:before="2880"/>
    </w:pPr>
  </w:p>
  <w:tbl>
    <w:tblPr>
      <w:tblW w:w="7796" w:type="dxa"/>
      <w:tblInd w:w="-142" w:type="dxa"/>
      <w:tblLayout w:type="fixed"/>
      <w:tblLook w:val="0000" w:firstRow="0" w:lastRow="0" w:firstColumn="0" w:lastColumn="0" w:noHBand="0" w:noVBand="0"/>
    </w:tblPr>
    <w:tblGrid>
      <w:gridCol w:w="3969"/>
      <w:gridCol w:w="3827"/>
    </w:tblGrid>
    <w:tr w:rsidR="00C10B85" w:rsidTr="006C25E2">
      <w:trPr>
        <w:cantSplit/>
      </w:trPr>
      <w:tc>
        <w:tcPr>
          <w:tcW w:w="3969" w:type="dxa"/>
        </w:tcPr>
        <w:p w:rsidR="009C426E" w:rsidRPr="00C56EDF" w:rsidRDefault="00E342C6" w:rsidP="00DD3458">
          <w:pPr>
            <w:pStyle w:val="Header"/>
            <w:tabs>
              <w:tab w:val="clear" w:pos="4320"/>
            </w:tabs>
            <w:spacing w:before="120"/>
            <w:rPr>
              <w:color w:val="000000"/>
              <w:lang w:eastAsia="en-US"/>
            </w:rPr>
          </w:pPr>
          <w:r w:rsidRPr="006C25E2">
            <w:rPr>
              <w:color w:val="000000"/>
              <w:lang w:eastAsia="en-US"/>
            </w:rPr>
            <w:t xml:space="preserve">Rīgā, </w:t>
          </w:r>
          <w:r w:rsidR="00857297">
            <w:rPr>
              <w:noProof/>
              <w:color w:val="000000"/>
              <w:lang w:eastAsia="en-US"/>
            </w:rPr>
            <w:t>14.06.2021</w:t>
          </w:r>
          <w:r w:rsidRPr="006C25E2">
            <w:rPr>
              <w:color w:val="000000"/>
              <w:lang w:eastAsia="en-US"/>
            </w:rPr>
            <w:t>.</w:t>
          </w:r>
        </w:p>
      </w:tc>
      <w:tc>
        <w:tcPr>
          <w:tcW w:w="3827" w:type="dxa"/>
        </w:tcPr>
        <w:p w:rsidR="009C426E" w:rsidRPr="0099125D" w:rsidRDefault="00E342C6" w:rsidP="00DD3458">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MV-N/1506</w:t>
          </w:r>
        </w:p>
      </w:tc>
    </w:tr>
  </w:tbl>
  <w:p w:rsidR="009C426E" w:rsidRPr="008669E5" w:rsidRDefault="00E342C6" w:rsidP="005B7C76">
    <w:pPr>
      <w:pStyle w:val="Header"/>
      <w:tabs>
        <w:tab w:val="clear" w:pos="4320"/>
        <w:tab w:val="left" w:pos="3969"/>
      </w:tabs>
      <w:spacing w:before="120"/>
    </w:pPr>
    <w:r w:rsidRPr="008669E5">
      <w:rPr>
        <w:noProof/>
      </w:rPr>
      <w:drawing>
        <wp:anchor distT="0" distB="0" distL="114300" distR="114300" simplePos="0" relativeHeight="251658240" behindDoc="1" locked="0" layoutInCell="1" allowOverlap="1">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0B4" w:rsidRPr="008669E5" w:rsidRDefault="00E342C6"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2049" type="#_x0000_t202" style="width:459.75pt;height:24.75pt;margin-top:161.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14:paraId="2FD671F2"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009C426E">
      <w:t xml:space="preserve">Uz </w:t>
    </w:r>
    <w:r w:rsidR="009C426E">
      <w:rPr>
        <w:noProof/>
      </w:rPr>
      <w:t>20.05.2021</w:t>
    </w:r>
    <w:r w:rsidR="006C25E2">
      <w:t>.</w:t>
    </w:r>
    <w:r w:rsidR="005B7C76">
      <w:tab/>
    </w:r>
    <w:r w:rsidR="009C426E">
      <w:t xml:space="preserve">Nr. </w:t>
    </w:r>
    <w:r w:rsidR="009C426E">
      <w:rPr>
        <w:noProof/>
      </w:rPr>
      <w:t>VSS-448 19</w:t>
    </w:r>
    <w:r w:rsidR="009775EE">
      <w:rPr>
        <w:noProof/>
      </w:rPr>
      <w:t>/5.par/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8DF7E58"/>
    <w:multiLevelType w:val="hybridMultilevel"/>
    <w:tmpl w:val="D9B6B1E6"/>
    <w:lvl w:ilvl="0" w:tplc="F9F25A92">
      <w:start w:val="1"/>
      <w:numFmt w:val="decimal"/>
      <w:lvlText w:val="%1."/>
      <w:lvlJc w:val="left"/>
      <w:pPr>
        <w:ind w:left="720" w:hanging="360"/>
      </w:pPr>
      <w:rPr>
        <w:rFonts w:hint="default"/>
        <w:sz w:val="24"/>
      </w:rPr>
    </w:lvl>
    <w:lvl w:ilvl="1" w:tplc="FE8CEAB6" w:tentative="1">
      <w:start w:val="1"/>
      <w:numFmt w:val="lowerLetter"/>
      <w:lvlText w:val="%2."/>
      <w:lvlJc w:val="left"/>
      <w:pPr>
        <w:ind w:left="1440" w:hanging="360"/>
      </w:pPr>
    </w:lvl>
    <w:lvl w:ilvl="2" w:tplc="D2FC8F34" w:tentative="1">
      <w:start w:val="1"/>
      <w:numFmt w:val="lowerRoman"/>
      <w:lvlText w:val="%3."/>
      <w:lvlJc w:val="right"/>
      <w:pPr>
        <w:ind w:left="2160" w:hanging="180"/>
      </w:pPr>
    </w:lvl>
    <w:lvl w:ilvl="3" w:tplc="5CA6DB38" w:tentative="1">
      <w:start w:val="1"/>
      <w:numFmt w:val="decimal"/>
      <w:lvlText w:val="%4."/>
      <w:lvlJc w:val="left"/>
      <w:pPr>
        <w:ind w:left="2880" w:hanging="360"/>
      </w:pPr>
    </w:lvl>
    <w:lvl w:ilvl="4" w:tplc="B40A7072" w:tentative="1">
      <w:start w:val="1"/>
      <w:numFmt w:val="lowerLetter"/>
      <w:lvlText w:val="%5."/>
      <w:lvlJc w:val="left"/>
      <w:pPr>
        <w:ind w:left="3600" w:hanging="360"/>
      </w:pPr>
    </w:lvl>
    <w:lvl w:ilvl="5" w:tplc="3F0C20A8" w:tentative="1">
      <w:start w:val="1"/>
      <w:numFmt w:val="lowerRoman"/>
      <w:lvlText w:val="%6."/>
      <w:lvlJc w:val="right"/>
      <w:pPr>
        <w:ind w:left="4320" w:hanging="180"/>
      </w:pPr>
    </w:lvl>
    <w:lvl w:ilvl="6" w:tplc="48622F58" w:tentative="1">
      <w:start w:val="1"/>
      <w:numFmt w:val="decimal"/>
      <w:lvlText w:val="%7."/>
      <w:lvlJc w:val="left"/>
      <w:pPr>
        <w:ind w:left="5040" w:hanging="360"/>
      </w:pPr>
    </w:lvl>
    <w:lvl w:ilvl="7" w:tplc="A014D010" w:tentative="1">
      <w:start w:val="1"/>
      <w:numFmt w:val="lowerLetter"/>
      <w:lvlText w:val="%8."/>
      <w:lvlJc w:val="left"/>
      <w:pPr>
        <w:ind w:left="5760" w:hanging="360"/>
      </w:pPr>
    </w:lvl>
    <w:lvl w:ilvl="8" w:tplc="A55C339A" w:tentative="1">
      <w:start w:val="1"/>
      <w:numFmt w:val="lowerRoman"/>
      <w:lvlText w:val="%9."/>
      <w:lvlJc w:val="right"/>
      <w:pPr>
        <w:ind w:left="6480" w:hanging="180"/>
      </w:pPr>
    </w:lvl>
  </w:abstractNum>
  <w:abstractNum w:abstractNumId="12" w15:restartNumberingAfterBreak="1">
    <w:nsid w:val="33BA2A4E"/>
    <w:multiLevelType w:val="hybridMultilevel"/>
    <w:tmpl w:val="C8BC4E1C"/>
    <w:lvl w:ilvl="0" w:tplc="46405B00">
      <w:start w:val="4"/>
      <w:numFmt w:val="bullet"/>
      <w:lvlText w:val="-"/>
      <w:lvlJc w:val="left"/>
      <w:pPr>
        <w:ind w:left="1211" w:hanging="360"/>
      </w:pPr>
      <w:rPr>
        <w:rFonts w:ascii="Times New Roman" w:eastAsiaTheme="minorHAnsi" w:hAnsi="Times New Roman" w:cs="Times New Roman" w:hint="default"/>
      </w:rPr>
    </w:lvl>
    <w:lvl w:ilvl="1" w:tplc="AB8E0080" w:tentative="1">
      <w:start w:val="1"/>
      <w:numFmt w:val="bullet"/>
      <w:lvlText w:val="o"/>
      <w:lvlJc w:val="left"/>
      <w:pPr>
        <w:ind w:left="1931" w:hanging="360"/>
      </w:pPr>
      <w:rPr>
        <w:rFonts w:ascii="Courier New" w:hAnsi="Courier New" w:cs="Courier New" w:hint="default"/>
      </w:rPr>
    </w:lvl>
    <w:lvl w:ilvl="2" w:tplc="7AD8107C" w:tentative="1">
      <w:start w:val="1"/>
      <w:numFmt w:val="bullet"/>
      <w:lvlText w:val=""/>
      <w:lvlJc w:val="left"/>
      <w:pPr>
        <w:ind w:left="2651" w:hanging="360"/>
      </w:pPr>
      <w:rPr>
        <w:rFonts w:ascii="Wingdings" w:hAnsi="Wingdings" w:hint="default"/>
      </w:rPr>
    </w:lvl>
    <w:lvl w:ilvl="3" w:tplc="A59A8562" w:tentative="1">
      <w:start w:val="1"/>
      <w:numFmt w:val="bullet"/>
      <w:lvlText w:val=""/>
      <w:lvlJc w:val="left"/>
      <w:pPr>
        <w:ind w:left="3371" w:hanging="360"/>
      </w:pPr>
      <w:rPr>
        <w:rFonts w:ascii="Symbol" w:hAnsi="Symbol" w:hint="default"/>
      </w:rPr>
    </w:lvl>
    <w:lvl w:ilvl="4" w:tplc="6B2AA096" w:tentative="1">
      <w:start w:val="1"/>
      <w:numFmt w:val="bullet"/>
      <w:lvlText w:val="o"/>
      <w:lvlJc w:val="left"/>
      <w:pPr>
        <w:ind w:left="4091" w:hanging="360"/>
      </w:pPr>
      <w:rPr>
        <w:rFonts w:ascii="Courier New" w:hAnsi="Courier New" w:cs="Courier New" w:hint="default"/>
      </w:rPr>
    </w:lvl>
    <w:lvl w:ilvl="5" w:tplc="1C1E07DA" w:tentative="1">
      <w:start w:val="1"/>
      <w:numFmt w:val="bullet"/>
      <w:lvlText w:val=""/>
      <w:lvlJc w:val="left"/>
      <w:pPr>
        <w:ind w:left="4811" w:hanging="360"/>
      </w:pPr>
      <w:rPr>
        <w:rFonts w:ascii="Wingdings" w:hAnsi="Wingdings" w:hint="default"/>
      </w:rPr>
    </w:lvl>
    <w:lvl w:ilvl="6" w:tplc="791EDFAC" w:tentative="1">
      <w:start w:val="1"/>
      <w:numFmt w:val="bullet"/>
      <w:lvlText w:val=""/>
      <w:lvlJc w:val="left"/>
      <w:pPr>
        <w:ind w:left="5531" w:hanging="360"/>
      </w:pPr>
      <w:rPr>
        <w:rFonts w:ascii="Symbol" w:hAnsi="Symbol" w:hint="default"/>
      </w:rPr>
    </w:lvl>
    <w:lvl w:ilvl="7" w:tplc="6CAED776" w:tentative="1">
      <w:start w:val="1"/>
      <w:numFmt w:val="bullet"/>
      <w:lvlText w:val="o"/>
      <w:lvlJc w:val="left"/>
      <w:pPr>
        <w:ind w:left="6251" w:hanging="360"/>
      </w:pPr>
      <w:rPr>
        <w:rFonts w:ascii="Courier New" w:hAnsi="Courier New" w:cs="Courier New" w:hint="default"/>
      </w:rPr>
    </w:lvl>
    <w:lvl w:ilvl="8" w:tplc="53BA80C8" w:tentative="1">
      <w:start w:val="1"/>
      <w:numFmt w:val="bullet"/>
      <w:lvlText w:val=""/>
      <w:lvlJc w:val="left"/>
      <w:pPr>
        <w:ind w:left="6971" w:hanging="360"/>
      </w:pPr>
      <w:rPr>
        <w:rFonts w:ascii="Wingdings" w:hAnsi="Wingdings" w:hint="default"/>
      </w:rPr>
    </w:lvl>
  </w:abstractNum>
  <w:abstractNum w:abstractNumId="13" w15:restartNumberingAfterBreak="1">
    <w:nsid w:val="34F13977"/>
    <w:multiLevelType w:val="hybridMultilevel"/>
    <w:tmpl w:val="D578EFC2"/>
    <w:lvl w:ilvl="0" w:tplc="9C2A8FD0">
      <w:start w:val="1"/>
      <w:numFmt w:val="decimal"/>
      <w:lvlText w:val="%1)"/>
      <w:lvlJc w:val="left"/>
      <w:pPr>
        <w:ind w:left="1069" w:hanging="360"/>
      </w:pPr>
      <w:rPr>
        <w:rFonts w:ascii="Times New Roman" w:hAnsi="Times New Roman" w:cs="Times New Roman" w:hint="default"/>
        <w:color w:val="auto"/>
        <w:sz w:val="28"/>
        <w:szCs w:val="28"/>
      </w:rPr>
    </w:lvl>
    <w:lvl w:ilvl="1" w:tplc="9572C5B2" w:tentative="1">
      <w:start w:val="1"/>
      <w:numFmt w:val="lowerLetter"/>
      <w:lvlText w:val="%2."/>
      <w:lvlJc w:val="left"/>
      <w:pPr>
        <w:ind w:left="1789" w:hanging="360"/>
      </w:pPr>
    </w:lvl>
    <w:lvl w:ilvl="2" w:tplc="D5D83C26" w:tentative="1">
      <w:start w:val="1"/>
      <w:numFmt w:val="lowerRoman"/>
      <w:lvlText w:val="%3."/>
      <w:lvlJc w:val="right"/>
      <w:pPr>
        <w:ind w:left="2509" w:hanging="180"/>
      </w:pPr>
    </w:lvl>
    <w:lvl w:ilvl="3" w:tplc="C7767F1A" w:tentative="1">
      <w:start w:val="1"/>
      <w:numFmt w:val="decimal"/>
      <w:lvlText w:val="%4."/>
      <w:lvlJc w:val="left"/>
      <w:pPr>
        <w:ind w:left="3229" w:hanging="360"/>
      </w:pPr>
    </w:lvl>
    <w:lvl w:ilvl="4" w:tplc="71AC2E80" w:tentative="1">
      <w:start w:val="1"/>
      <w:numFmt w:val="lowerLetter"/>
      <w:lvlText w:val="%5."/>
      <w:lvlJc w:val="left"/>
      <w:pPr>
        <w:ind w:left="3949" w:hanging="360"/>
      </w:pPr>
    </w:lvl>
    <w:lvl w:ilvl="5" w:tplc="4A18DE32" w:tentative="1">
      <w:start w:val="1"/>
      <w:numFmt w:val="lowerRoman"/>
      <w:lvlText w:val="%6."/>
      <w:lvlJc w:val="right"/>
      <w:pPr>
        <w:ind w:left="4669" w:hanging="180"/>
      </w:pPr>
    </w:lvl>
    <w:lvl w:ilvl="6" w:tplc="E1C840CC" w:tentative="1">
      <w:start w:val="1"/>
      <w:numFmt w:val="decimal"/>
      <w:lvlText w:val="%7."/>
      <w:lvlJc w:val="left"/>
      <w:pPr>
        <w:ind w:left="5389" w:hanging="360"/>
      </w:pPr>
    </w:lvl>
    <w:lvl w:ilvl="7" w:tplc="484CE52E" w:tentative="1">
      <w:start w:val="1"/>
      <w:numFmt w:val="lowerLetter"/>
      <w:lvlText w:val="%8."/>
      <w:lvlJc w:val="left"/>
      <w:pPr>
        <w:ind w:left="6109" w:hanging="360"/>
      </w:pPr>
    </w:lvl>
    <w:lvl w:ilvl="8" w:tplc="D02A83CC" w:tentative="1">
      <w:start w:val="1"/>
      <w:numFmt w:val="lowerRoman"/>
      <w:lvlText w:val="%9."/>
      <w:lvlJc w:val="right"/>
      <w:pPr>
        <w:ind w:left="6829" w:hanging="180"/>
      </w:pPr>
    </w:lvl>
  </w:abstractNum>
  <w:abstractNum w:abstractNumId="14" w15:restartNumberingAfterBreak="1">
    <w:nsid w:val="6E795EED"/>
    <w:multiLevelType w:val="hybridMultilevel"/>
    <w:tmpl w:val="2B466180"/>
    <w:lvl w:ilvl="0" w:tplc="4372DA02">
      <w:start w:val="1"/>
      <w:numFmt w:val="bullet"/>
      <w:lvlText w:val="-"/>
      <w:lvlJc w:val="left"/>
      <w:pPr>
        <w:ind w:left="720" w:hanging="360"/>
      </w:pPr>
      <w:rPr>
        <w:rFonts w:ascii="Times New Roman" w:eastAsiaTheme="minorHAnsi" w:hAnsi="Times New Roman" w:cs="Times New Roman" w:hint="default"/>
      </w:rPr>
    </w:lvl>
    <w:lvl w:ilvl="1" w:tplc="10DC3B3A" w:tentative="1">
      <w:start w:val="1"/>
      <w:numFmt w:val="bullet"/>
      <w:lvlText w:val="o"/>
      <w:lvlJc w:val="left"/>
      <w:pPr>
        <w:ind w:left="1440" w:hanging="360"/>
      </w:pPr>
      <w:rPr>
        <w:rFonts w:ascii="Courier New" w:hAnsi="Courier New" w:cs="Courier New" w:hint="default"/>
      </w:rPr>
    </w:lvl>
    <w:lvl w:ilvl="2" w:tplc="870652BE" w:tentative="1">
      <w:start w:val="1"/>
      <w:numFmt w:val="bullet"/>
      <w:lvlText w:val=""/>
      <w:lvlJc w:val="left"/>
      <w:pPr>
        <w:ind w:left="2160" w:hanging="360"/>
      </w:pPr>
      <w:rPr>
        <w:rFonts w:ascii="Wingdings" w:hAnsi="Wingdings" w:hint="default"/>
      </w:rPr>
    </w:lvl>
    <w:lvl w:ilvl="3" w:tplc="CE621A4A" w:tentative="1">
      <w:start w:val="1"/>
      <w:numFmt w:val="bullet"/>
      <w:lvlText w:val=""/>
      <w:lvlJc w:val="left"/>
      <w:pPr>
        <w:ind w:left="2880" w:hanging="360"/>
      </w:pPr>
      <w:rPr>
        <w:rFonts w:ascii="Symbol" w:hAnsi="Symbol" w:hint="default"/>
      </w:rPr>
    </w:lvl>
    <w:lvl w:ilvl="4" w:tplc="EAF41556" w:tentative="1">
      <w:start w:val="1"/>
      <w:numFmt w:val="bullet"/>
      <w:lvlText w:val="o"/>
      <w:lvlJc w:val="left"/>
      <w:pPr>
        <w:ind w:left="3600" w:hanging="360"/>
      </w:pPr>
      <w:rPr>
        <w:rFonts w:ascii="Courier New" w:hAnsi="Courier New" w:cs="Courier New" w:hint="default"/>
      </w:rPr>
    </w:lvl>
    <w:lvl w:ilvl="5" w:tplc="E960BC52" w:tentative="1">
      <w:start w:val="1"/>
      <w:numFmt w:val="bullet"/>
      <w:lvlText w:val=""/>
      <w:lvlJc w:val="left"/>
      <w:pPr>
        <w:ind w:left="4320" w:hanging="360"/>
      </w:pPr>
      <w:rPr>
        <w:rFonts w:ascii="Wingdings" w:hAnsi="Wingdings" w:hint="default"/>
      </w:rPr>
    </w:lvl>
    <w:lvl w:ilvl="6" w:tplc="412CBBE2" w:tentative="1">
      <w:start w:val="1"/>
      <w:numFmt w:val="bullet"/>
      <w:lvlText w:val=""/>
      <w:lvlJc w:val="left"/>
      <w:pPr>
        <w:ind w:left="5040" w:hanging="360"/>
      </w:pPr>
      <w:rPr>
        <w:rFonts w:ascii="Symbol" w:hAnsi="Symbol" w:hint="default"/>
      </w:rPr>
    </w:lvl>
    <w:lvl w:ilvl="7" w:tplc="5BB23EC2" w:tentative="1">
      <w:start w:val="1"/>
      <w:numFmt w:val="bullet"/>
      <w:lvlText w:val="o"/>
      <w:lvlJc w:val="left"/>
      <w:pPr>
        <w:ind w:left="5760" w:hanging="360"/>
      </w:pPr>
      <w:rPr>
        <w:rFonts w:ascii="Courier New" w:hAnsi="Courier New" w:cs="Courier New" w:hint="default"/>
      </w:rPr>
    </w:lvl>
    <w:lvl w:ilvl="8" w:tplc="E43213B6" w:tentative="1">
      <w:start w:val="1"/>
      <w:numFmt w:val="bullet"/>
      <w:lvlText w:val=""/>
      <w:lvlJc w:val="left"/>
      <w:pPr>
        <w:ind w:left="6480" w:hanging="360"/>
      </w:pPr>
      <w:rPr>
        <w:rFonts w:ascii="Wingdings" w:hAnsi="Wingdings" w:hint="default"/>
      </w:rPr>
    </w:lvl>
  </w:abstractNum>
  <w:abstractNum w:abstractNumId="15" w15:restartNumberingAfterBreak="1">
    <w:nsid w:val="7C133347"/>
    <w:multiLevelType w:val="hybridMultilevel"/>
    <w:tmpl w:val="D9B6B1E6"/>
    <w:lvl w:ilvl="0" w:tplc="DA94EF1C">
      <w:start w:val="1"/>
      <w:numFmt w:val="decimal"/>
      <w:lvlText w:val="%1."/>
      <w:lvlJc w:val="left"/>
      <w:pPr>
        <w:ind w:left="720" w:hanging="360"/>
      </w:pPr>
      <w:rPr>
        <w:rFonts w:hint="default"/>
        <w:sz w:val="24"/>
      </w:rPr>
    </w:lvl>
    <w:lvl w:ilvl="1" w:tplc="A2845464" w:tentative="1">
      <w:start w:val="1"/>
      <w:numFmt w:val="lowerLetter"/>
      <w:lvlText w:val="%2."/>
      <w:lvlJc w:val="left"/>
      <w:pPr>
        <w:ind w:left="1440" w:hanging="360"/>
      </w:pPr>
    </w:lvl>
    <w:lvl w:ilvl="2" w:tplc="193EA302" w:tentative="1">
      <w:start w:val="1"/>
      <w:numFmt w:val="lowerRoman"/>
      <w:lvlText w:val="%3."/>
      <w:lvlJc w:val="right"/>
      <w:pPr>
        <w:ind w:left="2160" w:hanging="180"/>
      </w:pPr>
    </w:lvl>
    <w:lvl w:ilvl="3" w:tplc="3094254C" w:tentative="1">
      <w:start w:val="1"/>
      <w:numFmt w:val="decimal"/>
      <w:lvlText w:val="%4."/>
      <w:lvlJc w:val="left"/>
      <w:pPr>
        <w:ind w:left="2880" w:hanging="360"/>
      </w:pPr>
    </w:lvl>
    <w:lvl w:ilvl="4" w:tplc="5982695E" w:tentative="1">
      <w:start w:val="1"/>
      <w:numFmt w:val="lowerLetter"/>
      <w:lvlText w:val="%5."/>
      <w:lvlJc w:val="left"/>
      <w:pPr>
        <w:ind w:left="3600" w:hanging="360"/>
      </w:pPr>
    </w:lvl>
    <w:lvl w:ilvl="5" w:tplc="C7408A50" w:tentative="1">
      <w:start w:val="1"/>
      <w:numFmt w:val="lowerRoman"/>
      <w:lvlText w:val="%6."/>
      <w:lvlJc w:val="right"/>
      <w:pPr>
        <w:ind w:left="4320" w:hanging="180"/>
      </w:pPr>
    </w:lvl>
    <w:lvl w:ilvl="6" w:tplc="AEBE5882" w:tentative="1">
      <w:start w:val="1"/>
      <w:numFmt w:val="decimal"/>
      <w:lvlText w:val="%7."/>
      <w:lvlJc w:val="left"/>
      <w:pPr>
        <w:ind w:left="5040" w:hanging="360"/>
      </w:pPr>
    </w:lvl>
    <w:lvl w:ilvl="7" w:tplc="C678916A" w:tentative="1">
      <w:start w:val="1"/>
      <w:numFmt w:val="lowerLetter"/>
      <w:lvlText w:val="%8."/>
      <w:lvlJc w:val="left"/>
      <w:pPr>
        <w:ind w:left="5760" w:hanging="360"/>
      </w:pPr>
    </w:lvl>
    <w:lvl w:ilvl="8" w:tplc="36281ED4"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2"/>
  </w:num>
  <w:num w:numId="14">
    <w:abstractNumId w:val="13"/>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264"/>
    <w:rsid w:val="00006384"/>
    <w:rsid w:val="00030349"/>
    <w:rsid w:val="000541DF"/>
    <w:rsid w:val="0005708E"/>
    <w:rsid w:val="000903C4"/>
    <w:rsid w:val="000A0B61"/>
    <w:rsid w:val="000F716B"/>
    <w:rsid w:val="00104688"/>
    <w:rsid w:val="00124173"/>
    <w:rsid w:val="001D79E4"/>
    <w:rsid w:val="001E2FA0"/>
    <w:rsid w:val="002005E2"/>
    <w:rsid w:val="00242216"/>
    <w:rsid w:val="00265D4A"/>
    <w:rsid w:val="00275B9E"/>
    <w:rsid w:val="00290B9D"/>
    <w:rsid w:val="002B3077"/>
    <w:rsid w:val="002D7FAB"/>
    <w:rsid w:val="002E1474"/>
    <w:rsid w:val="002E5F85"/>
    <w:rsid w:val="002E75AE"/>
    <w:rsid w:val="002F4357"/>
    <w:rsid w:val="0032508F"/>
    <w:rsid w:val="00330D43"/>
    <w:rsid w:val="003B48FB"/>
    <w:rsid w:val="00430B72"/>
    <w:rsid w:val="004B29B1"/>
    <w:rsid w:val="004D5726"/>
    <w:rsid w:val="004F08C0"/>
    <w:rsid w:val="00535564"/>
    <w:rsid w:val="00536338"/>
    <w:rsid w:val="00570BCC"/>
    <w:rsid w:val="005B7C76"/>
    <w:rsid w:val="005D2424"/>
    <w:rsid w:val="005D3875"/>
    <w:rsid w:val="00612453"/>
    <w:rsid w:val="00625B5E"/>
    <w:rsid w:val="00635A55"/>
    <w:rsid w:val="00661C8F"/>
    <w:rsid w:val="00661D7C"/>
    <w:rsid w:val="00663C3A"/>
    <w:rsid w:val="00693999"/>
    <w:rsid w:val="006C1639"/>
    <w:rsid w:val="006C25E2"/>
    <w:rsid w:val="006C416D"/>
    <w:rsid w:val="0073633D"/>
    <w:rsid w:val="00773051"/>
    <w:rsid w:val="007835FF"/>
    <w:rsid w:val="007A1D16"/>
    <w:rsid w:val="007A2264"/>
    <w:rsid w:val="007A521E"/>
    <w:rsid w:val="007B3BA5"/>
    <w:rsid w:val="007B48EC"/>
    <w:rsid w:val="007C0E80"/>
    <w:rsid w:val="007E4D1F"/>
    <w:rsid w:val="00815277"/>
    <w:rsid w:val="00857297"/>
    <w:rsid w:val="008669E5"/>
    <w:rsid w:val="00876C21"/>
    <w:rsid w:val="008C195B"/>
    <w:rsid w:val="008C6ADC"/>
    <w:rsid w:val="008D4AF3"/>
    <w:rsid w:val="00954D5A"/>
    <w:rsid w:val="009775EE"/>
    <w:rsid w:val="0099125D"/>
    <w:rsid w:val="009A40B4"/>
    <w:rsid w:val="009C426E"/>
    <w:rsid w:val="009D0F72"/>
    <w:rsid w:val="009E4D38"/>
    <w:rsid w:val="00A03A13"/>
    <w:rsid w:val="00A169BE"/>
    <w:rsid w:val="00A30D47"/>
    <w:rsid w:val="00A67357"/>
    <w:rsid w:val="00AA712C"/>
    <w:rsid w:val="00AC16EC"/>
    <w:rsid w:val="00AC3B5D"/>
    <w:rsid w:val="00AF0E90"/>
    <w:rsid w:val="00AF7EA1"/>
    <w:rsid w:val="00B205B2"/>
    <w:rsid w:val="00B93343"/>
    <w:rsid w:val="00BB3E81"/>
    <w:rsid w:val="00BE56C2"/>
    <w:rsid w:val="00C10B85"/>
    <w:rsid w:val="00C47F57"/>
    <w:rsid w:val="00C561E6"/>
    <w:rsid w:val="00C56EDF"/>
    <w:rsid w:val="00C7298C"/>
    <w:rsid w:val="00CA407F"/>
    <w:rsid w:val="00D06C72"/>
    <w:rsid w:val="00D0743C"/>
    <w:rsid w:val="00D21FA6"/>
    <w:rsid w:val="00D55B4B"/>
    <w:rsid w:val="00DD3458"/>
    <w:rsid w:val="00DF4642"/>
    <w:rsid w:val="00E0254D"/>
    <w:rsid w:val="00E330D3"/>
    <w:rsid w:val="00E342C6"/>
    <w:rsid w:val="00E365CE"/>
    <w:rsid w:val="00E85884"/>
    <w:rsid w:val="00E877A1"/>
    <w:rsid w:val="00EA5DAF"/>
    <w:rsid w:val="00EC2717"/>
    <w:rsid w:val="00EF676E"/>
    <w:rsid w:val="00F25DA3"/>
    <w:rsid w:val="00F34D4B"/>
    <w:rsid w:val="00F60586"/>
    <w:rsid w:val="00F82FDF"/>
    <w:rsid w:val="00FA1F67"/>
    <w:rsid w:val="00FB2E50"/>
    <w:rsid w:val="00FC4537"/>
    <w:rsid w:val="00FF0EE8"/>
  </w:rsids>
  <m:mathPr>
    <m:mathFont m:val="Cambria Math"/>
    <m:brkBin m:val="before"/>
    <m:brkBinSub m:val="--"/>
    <m:smallFrac m:val="0"/>
    <m:dispDef m:val="0"/>
    <m:lMargin m:val="0"/>
    <m:rMargin m:val="0"/>
    <m:defJc m:val="centerGroup"/>
    <m:wrapRight/>
    <m:intLim m:val="subSup"/>
    <m:naryLim m:val="subSup"/>
  </m:mathPr>
  <w:themeFontLang w:val="lv-LV"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8B06E-E6E6-4E18-92F7-84F9DC2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264"/>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570BCC"/>
    <w:pPr>
      <w:widowControl/>
      <w:spacing w:after="160" w:line="259"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570BCC"/>
    <w:pPr>
      <w:widowControl/>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570BCC"/>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570BCC"/>
    <w:rPr>
      <w:vertAlign w:val="superscript"/>
    </w:rPr>
  </w:style>
  <w:style w:type="character" w:styleId="CommentReference">
    <w:name w:val="annotation reference"/>
    <w:basedOn w:val="DefaultParagraphFont"/>
    <w:uiPriority w:val="99"/>
    <w:semiHidden/>
    <w:unhideWhenUsed/>
    <w:rsid w:val="00570BCC"/>
    <w:rPr>
      <w:sz w:val="16"/>
      <w:szCs w:val="16"/>
    </w:rPr>
  </w:style>
  <w:style w:type="paragraph" w:styleId="CommentText">
    <w:name w:val="annotation text"/>
    <w:basedOn w:val="Normal"/>
    <w:link w:val="CommentTextChar"/>
    <w:uiPriority w:val="99"/>
    <w:semiHidden/>
    <w:unhideWhenUsed/>
    <w:rsid w:val="00570BCC"/>
    <w:pPr>
      <w:widowControl/>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70BCC"/>
    <w:rPr>
      <w:rFonts w:asciiTheme="minorHAnsi" w:eastAsiaTheme="minorHAnsi" w:hAnsiTheme="minorHAnsi" w:cstheme="minorBidi"/>
      <w:sz w:val="20"/>
      <w:szCs w:val="20"/>
      <w:lang w:eastAsia="en-US"/>
    </w:rPr>
  </w:style>
  <w:style w:type="paragraph" w:customStyle="1" w:styleId="Default">
    <w:name w:val="Default"/>
    <w:rsid w:val="00570BCC"/>
    <w:pPr>
      <w:autoSpaceDE w:val="0"/>
      <w:autoSpaceDN w:val="0"/>
      <w:adjustRightInd w:val="0"/>
    </w:pPr>
    <w:rPr>
      <w:rFonts w:ascii="EUAlbertina" w:hAnsi="EUAlbertina" w:cs="EUAlbertina"/>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zelika.nikitina@mod.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elena.Brinkmane@mod.gov.lv" TargetMode="External"/><Relationship Id="rId4" Type="http://schemas.openxmlformats.org/officeDocument/2006/relationships/settings" Target="settings.xml"/><Relationship Id="rId9" Type="http://schemas.openxmlformats.org/officeDocument/2006/relationships/hyperlink" Target="mailto:Inta.springe@mod.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ircabc.europa.eu/sd/a/77219700-3f55-4928-851f-c7817f1d277f/897%20-%20Exemptions%20Acquisitions%20made%20under%20diplomatic%20and%20consular%20arrangement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8A8F1-D06C-46F2-8E91-91BC832C6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8337</Words>
  <Characters>4753</Characters>
  <Application>Microsoft Office Word</Application>
  <DocSecurity>4</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Jeļena Kuhaļska</cp:lastModifiedBy>
  <cp:revision>2</cp:revision>
  <cp:lastPrinted>2014-12-29T13:31:00Z</cp:lastPrinted>
  <dcterms:created xsi:type="dcterms:W3CDTF">2021-06-14T14:02:00Z</dcterms:created>
  <dcterms:modified xsi:type="dcterms:W3CDTF">2021-06-14T14:02:00Z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