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Mātes un bērna veselības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(Institūciju publiskās apspriešanas laikā izteikto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Mātes un bērna veselības uzlabošanas plāns 2025.-2027.gadam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(turpmāk tekstā - LDDK) ir iepazinusies ar Veselības ministrijas (VM) izstrādāto plāna projektu  “Mātes un bērna veselības uzlabošanas plāns 2025. – 2027. gadam” (turpmāk arī Projekts) un izsaka šādus iebildumus: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LDDK iebilst pret Projekta Kopsavilkumā ietverto tekstu “ķeizargriezienu īpatsvars Latvijā vēl nav sasniedzis PVO rekomendētos 15% no visām dzemdībām” VM piedāvātajā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Vārdus “nav sasniedzis” izmanto pieaugošas parādības sasniedzamajai mērķa robežai.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Tekstu aiz vārda “rekomendētos" papildināt ar vārdiem “ne vairāk kā".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LDDK iebilst pret Projekta Kopsavilkumā ietverto tekstu “samazināt jaundzimušo mirstību līdz vismaz 12 gadījumiem uz 1000 dzīvi dzimušiem, un bērnu vecumā līdz 5 gadiem mirstību līdz vismaz 25 gadījumiem uz 1000 dzīvi dzimušiem ” VM piedāvātajā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  </w:t>
            </w:r>
            <w:r w:rsidR="00000000" w:rsidRPr="00000000" w:rsidDel="00000000">
              <w:rPr>
                <w:rtl w:val="0"/>
              </w:rPr>
              <w:t xml:space="preserve">     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Vārdus “vismaz” izmanto pieaugošas parādības sasniedzamajai mērķa robežai.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vārdu “vismaz" ar vārdiem “ne vairāk kā".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LDDK iebilst pret Projekta Kopsavilkuma sadaļas Bērnu traumatisms otrās rindkopu, tās trešo teikumu VM piedāvātajā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Ievietojot tekstā procentuālo rādītāju ir jānorāda no lielums, no kura tiek noteikts procentuālais apjoms.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Bērna veselību un attīstību ietekmē ne tikai rindkopā minētie faktori. To ļoti būtiski ietekmē savlaicīga veselības aprūpes pakalpojumu pieejamība.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rindkopu norādot lielumu, no kura tiek noteikts procentuālais apjoms.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Neilande (LDDK) (Rihards Blese (LDDK)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19.06.2025. 22.40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19.06.2025. 22.40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