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nodrošina personu datu apstrādi saskaņā ar Eiropas Parlamenta un Padomes 2016. gada 27. aprīļa Regulas (ES) 2016/679 par fizisku personu aizsardzību attiecībā uz personas datu apstrādi un šādu datu brīvu apriti un ar ko atceļ Direktīvu 95/46/EK (Vispārīgā datu aizsardzības regula), 5. panta 1. punkta "a" apakšpunktu likumīgā, godprātīgā un datu subjektam pārredzamā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Datu regula ir tieši piemērojams ES normatīvais akts, vēršam uzmanību, ka noteikumu projekta 38. punkts ir bez juridiskās slodzes. Proti, neatkarīgi, no šā punkta, pārzinim ir jānodrošina datu apstrādes atbilstība Datu regulai, kā arī jāievēro noteiktie datu apstrādes principi.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Ministru kabineta noteikumu Nr. 108 "Normatīvo aktu projektu sagatavošanas noteikumi"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ievērojot minēto, aicinām svītrot noteikumu projekta 38.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atbilstoši noteikumu projekta anotācijas 8.1.13. apakšpunktam ir paredzēta datu apstrāde, lūdzam ņemt vērā Valsts kancelejas atjaunotajās vadlīnijās (versija Nr.3., 30.09.2024.) 54-55.lpp norādīto par anotācijā iekļaujamo informāciju attiecībā uz ietekmi uz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anotācija nesatur informāciju par datu apstrādes tiesisko pamatu. Paskaidrojam, ka gadījumā, ja tiesiskais pamats datu apstrādei izriet no cita ES vai nacionālā normatīvā akta, šis normatīvais akts un tā konkrēts pants (un panta daļa) anotācijā ir norādāms. Pretējā gadījumā, Datu valsts inspekcija nevar izvērtēt plānotās datu apstrādes atbilstību datu apstrādi regulējošajiem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aicinām papildināt noteikumu projekta anotāciju, norādot datu apstrādes tiesisko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21.11.2024. 22.41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21.11.2024. 22.41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