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ir izvērtējusi KEM viedokli un argumentāciju, kādēļ netiek ņemts vērā iepriekšējās saskaņošanas kārtās paustais aicinājums noteikt energokopienām maksimālo jaudu un kapacitātes griestus, un noteikt minimālo saražotās siltumenerģijas īpatsvaru energokopienas siltumenerģijas patēriņa nodrošināšanai, un aicina papildināt Noteikumu projekta 3.nodaļu ar punktu, ka “atjaunīgās enerģijas energokopiena ražo siltumenerģiju tikai sava patēriņa nodrošināšanai, nenododot to lietotājiem ārpus savas izolētās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14.10.2024.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14.10.2024.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