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22-TA-1406: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Baltijas jūras un Rīgas jūras līča piekrastes aizsargjoslas noteikšanas metodika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1.3.apakšpunktā norādīts, ka šobrīd ir spēkā Ministru kabineta 2004. gada 17. februārī noteikumos Nr. 86 “Baltijas jūras un Rīgas jūras līča piekrastes aizsargjoslas noteikšanas metodika” (turpmāk – noteikumi Nr. 86) noteiktā metodika, kas ir novecojusi un neatbilst Aizsargjoslu likuma redakcijai, </w:t>
            </w:r>
            <w:r w:rsidR="00000000" w:rsidRPr="00000000" w:rsidDel="00000000">
              <w:rPr>
                <w:u w:val="single"/>
                <w:rtl w:val="0"/>
              </w:rPr>
              <w:t xml:space="preserve">kas stāsies spēkā 2022. gada 1. jūlijā.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šobrīd ir 2024.gads un Aizsargjoslu likuma pārejas noteikumu 25.punkts nosaka, ka grozījums šā likuma 6. panta ceturtajā daļā par īpaši aizsargājamo biotopu iekļaušanas, izmaiņu un izslēgšanas metodikas projekta izstrādi, stājas spēkā 2022. gada 1. jūlijā, aicinām redakcionāli precizēt anotācijā norādīto par normatīvā regulējuma spēkā stāšanās laiku.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22-TA-1406</w:t>
    </w:r>
    <w:r>
      <w:br/>
    </w:r>
    <w:r w:rsidR="00000000" w:rsidRPr="00000000" w:rsidDel="00000000">
      <w:rPr>
        <w:rtl w:val="0"/>
      </w:rPr>
      <w:t xml:space="preserve">Izdrukāts 30.01.2024. 13.43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22-TA-1406</w:t>
    </w:r>
    <w:r>
      <w:br/>
    </w:r>
    <w:r w:rsidR="00000000" w:rsidRPr="00000000" w:rsidDel="00000000">
      <w:rPr>
        <w:rtl w:val="0"/>
      </w:rPr>
      <w:t xml:space="preserve">Izdrukāts 30.01.2024. 13.43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Atzinumi_22-TA-1406.docx</dc:title>
</cp:coreProperties>
</file>

<file path=docProps/custom.xml><?xml version="1.0" encoding="utf-8"?>
<Properties xmlns="http://schemas.openxmlformats.org/officeDocument/2006/custom-properties" xmlns:vt="http://schemas.openxmlformats.org/officeDocument/2006/docPropsVTypes"/>
</file>