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sadarbības tīkla dalībnieki – sīkie (mikro), mazie, vidējie un lielie komersanti (ar nosacījumu, ka pētniecības un attīstības aktivitāšu īstenošanai tiek piesaistīti sīkie (mikro), mazie un vidējie komersanti), tai skaitā valsts kapitālsabiedrības, pētniecības un zināšanu izplatīšanas organizācijas, biedrības un nodibinājumi, publiskas personas vai tās institūcijas, kas veic saimniecisko darbību. Sadarbības tīkla dalībnieks var nebūt biedrības biedrs vai nodibinājuma vai inovācijas kopas dalībnieks;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precizēt/skaidrot anotācijā, vai ar "publiskas personas vai tās institūcijas, kas veic saimniecisko darbību" ir paredzētas publiskas personas un iestādes saskaņā ar Valsts pārvaldes iekārtas likumu vai citu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lūgums sniegt papildus informāciju par šādu papildus sadarbības tīkla dalībnieku tvēruma papildināšanu, ņemot vērā, ka atbalstam pieejamais finansējums katra sadarbības tīkla ietvaros ir ierobežots un būtiska šāda dalībnieku tvēruma papildināšana var radīt riskus par pieejamo finansējumu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tā kā "Pasākuma mērķis ir nodrošināt finansējumu sadarbības tīklu dalībnieku internacionalizācijai un sadarbības veicināšanai starp privāto, publisko un pētniecības sektoru", jau šobrīd MK noteikumos noteiktais dalībnieku tvērums ir pietiekami plašs, lai varētu sniegt atbalstu gan dažāda lieluma komersantiem, gan pētniecības un zināšanu izplatīšanas organizācijām, kuriem šis atbalsts saskaņā ar pasākuma mērķi ir ļoti nozīmīgs. </w:t>
            </w:r>
            <w:r w:rsidR="00000000" w:rsidRPr="00000000" w:rsidDel="00000000">
              <w:rPr>
                <w:u w:val="single"/>
                <w:rtl w:val="0"/>
              </w:rPr>
              <w:t xml:space="preserve">Šim pasākumam nebūtu jābūt kā atbalsta programmai publiskajam sektoram.</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Pasākuma otrā uzsaukuma ietvaros vienam projekta iesniegumam minimālais kopējo attiecināmo izmaksu apmērs nav mazāks par 200 000 euro (ieskaitot), bet maksimāli pieļaujamais finansējuma apmērs ir 1 036 914 euro, tai skaitā Eiropas Reģionālās attīstības fonda finansējums – 881 377 euro un valsts budžeta finansējums – 155 537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lūdz detalizēti skaidrot plānoto, ka otrajā uzsaukumā ir plānots lielāks maksimāli pieļaujamais finansējuma apmērs, jo šobrīd MK noteikumu grozījumu anotācijā nav sniegta pilnīga informācija par nepieciešamību palielināt nākamajos uzsaukumos pieļaujamo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arī rada nevienlīdzību pret pirmā uzsaukuma projekta iesniedzējiem un īstenotājiem (finanšu saņēmējiem). Lūgums precizēt/skaidro par iespēju precizēt šo normu, paredzot, ka gadījumā, ja pēc pirmā uzsaukuma ir palicis brīvs nesadalītais finansējums, tas var tikt papildus novirzīts vai nu pirmā uzsaukuma finanšu saņēmējiem, ja ir sekmīgi īstenoti projekti, vai arī organizēts otrs uzsaukums ar līdzvērtīgiem nosacījumiem kā pirmajā uzsaukumā.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nacionālie rādītāji otrā uzsaukumā: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ņemt vērā, ka papildināto nacionālo rādītāju verifikācija var būt apgrūtinoša, ņemot vērā komerciāla rakstura jautājumus, tai skaitā, piemēram, savstarpējas vienošanās ar ārvalstu partneriem par darījuma fakta, būtības un satura neizspaušanu.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pasākuma ietvaros var iesniegt vienu projekta iesniegumu.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 paredzot, ka Projekta iesniedzējs pasākuma </w:t>
            </w:r>
            <w:r w:rsidR="00000000" w:rsidRPr="00000000" w:rsidDel="00000000">
              <w:rPr>
                <w:u w:val="single"/>
                <w:rtl w:val="0"/>
              </w:rPr>
              <w:t xml:space="preserve">konkrētā uzsaukuma ietvaros </w:t>
            </w:r>
            <w:r w:rsidR="00000000" w:rsidRPr="00000000" w:rsidDel="00000000">
              <w:rPr>
                <w:rtl w:val="0"/>
              </w:rPr>
              <w:t xml:space="preserve">var iesniegt vienu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MK noteikumu punkta redakcija izslēdz iespēju nepieciešamības gadījumā papildus piešķirt finansējumu esošam sadarbības tīklam vai tam arī pretendēt citu uzsaukumu ietvaros, ja saņemtais atbalsta finansējums ir sekmīgi investēts un sasniegtie noteikti mērķi un rezultāti.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46.2.2. nodrošināt, ka visā projekta īstenošanas laikā tas pārstāv ne mazāk kā 30 savstarpēji nesaistītus sadarbības tīkla dalībniekus (neskaitot pētniecības un zināšanu izplatīšanas organizācijas), izņemot ja projekta iesniedzējs ir inovācijas 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precizēt/skaidrot vai šāda norma, kad attiecībā uz Inovāciju kopu nepastāv noteikti kritēriji, nerada neviennozīmīgu attieksmi pret sadarbības tīkliem, kuri nav inovāciju kopas.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23.03.2026. 20.41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23.03.2026. 20.41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Atzinumi_25-TA-3063.docx</dc:title>
</cp:coreProperties>
</file>

<file path=docProps/custom.xml><?xml version="1.0" encoding="utf-8"?>
<Properties xmlns="http://schemas.openxmlformats.org/officeDocument/2006/custom-properties" xmlns:vt="http://schemas.openxmlformats.org/officeDocument/2006/docPropsVTypes"/>
</file>