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9. aprīļa noteikumos Nr. 149 "Noteikumi par aizsardzību pret jonizējošo starojumu"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7. punktā izteikto Ministru kabineta 2002. gada 9. aprīļa noteikumu Nr. 149 "Noteikumi par aizsardzību pret jonizējošo starojumu" (turpmāk - Noteikumi Nr.149) 163.</w:t>
            </w:r>
            <w:r w:rsidR="00000000" w:rsidRPr="00000000" w:rsidDel="00000000">
              <w:rPr>
                <w:vertAlign w:val="superscript"/>
                <w:rtl w:val="0"/>
              </w:rPr>
              <w:t xml:space="preserve">5</w:t>
            </w:r>
            <w:r w:rsidR="00000000" w:rsidRPr="00000000" w:rsidDel="00000000">
              <w:rPr>
                <w:rtl w:val="0"/>
              </w:rPr>
              <w:t xml:space="preserve"> punktu: “163.</w:t>
            </w:r>
            <w:r w:rsidR="00000000" w:rsidRPr="00000000" w:rsidDel="00000000">
              <w:rPr>
                <w:vertAlign w:val="superscript"/>
                <w:rtl w:val="0"/>
              </w:rPr>
              <w:t xml:space="preserve">5</w:t>
            </w:r>
            <w:r w:rsidR="00000000" w:rsidRPr="00000000" w:rsidDel="00000000">
              <w:rPr>
                <w:rtl w:val="0"/>
              </w:rPr>
              <w:t xml:space="preserve">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minēto intervālu - standartlīmeni, kas mazāks par 1 mSv gadā, </w:t>
            </w:r>
            <w:r w:rsidR="00000000" w:rsidRPr="00000000" w:rsidDel="00000000">
              <w:rPr>
                <w:u w:val="single"/>
                <w:rtl w:val="0"/>
              </w:rPr>
              <w:t xml:space="preserve">nepieciešamības gadījumā, konsultējoties ar centru, var noteikt </w:t>
            </w:r>
            <w:r w:rsidR="00000000" w:rsidRPr="00000000" w:rsidDel="00000000">
              <w:rPr>
                <w:rtl w:val="0"/>
              </w:rPr>
              <w:t xml:space="preserve">esošā apstarošanas situācijā attiecībā uz apstarošanu, ja tā ir saistīta ar konkrētu jonizējošā starojuma avotu vai apstarošanas ceļu”. Atkārtoti lūdzam precizēt minēto projekta normu, konkrētāk nosakot, kuri ir tie gadījumi, kritēriji, kad standartlīmeni, kas mazāks par 1 mSv gadā, nepieciešamības gadījumā, konsultējoties ar centru, var noteikt mazāku par 1 mSv gadā, tādējādi nodrošinot skaidru un nepārprotamu tiesību normas izpratni un to, ka vienādos apstākļos tiek pieņemti vienādi lēmumi (objektivitāte), īpaši ņemot vērā, ka  projektā norādīta tāds vispārīgs un nenoteikts formulējums kā: “nepieciešamības gadījumā, konsultējoties ar centru, var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nodaļas nosaukuma formulējuma "</w:t>
            </w:r>
            <w:r w:rsidR="00000000" w:rsidRPr="00000000" w:rsidDel="00000000">
              <w:rPr>
                <w:b w:val="1"/>
                <w:rtl w:val="0"/>
              </w:rPr>
              <w:t xml:space="preserve">Esošo</w:t>
            </w:r>
            <w:r w:rsidR="00000000" w:rsidRPr="00000000" w:rsidDel="00000000">
              <w:rPr>
                <w:rtl w:val="0"/>
              </w:rPr>
              <w:t xml:space="preserve"> apstarošanas situāciju un piesārņoto teritoriju pārvaldība" atbilstību, pārliecinoties, ka Noteikumu Nr.149 10.</w:t>
            </w:r>
            <w:r w:rsidR="00000000" w:rsidRPr="00000000" w:rsidDel="00000000">
              <w:rPr>
                <w:vertAlign w:val="superscript"/>
                <w:rtl w:val="0"/>
              </w:rPr>
              <w:t xml:space="preserve">1</w:t>
            </w:r>
            <w:r w:rsidR="00000000" w:rsidRPr="00000000" w:rsidDel="00000000">
              <w:rPr>
                <w:rtl w:val="0"/>
              </w:rPr>
              <w:t xml:space="preserve"> nodaļa tiešām paredz noteikumus tikai </w:t>
            </w:r>
            <w:r w:rsidR="00000000" w:rsidRPr="00000000" w:rsidDel="00000000">
              <w:rPr>
                <w:b w:val="1"/>
                <w:rtl w:val="0"/>
              </w:rPr>
              <w:t xml:space="preserve">esošajām</w:t>
            </w:r>
            <w:r w:rsidR="00000000" w:rsidRPr="00000000" w:rsidDel="00000000">
              <w:rPr>
                <w:rtl w:val="0"/>
              </w:rPr>
              <w:t xml:space="preserve"> apstarošanas situācijām un piesārņotajām teritorijām, kas jau ir zināmas un neskar  situācijas, kas var rasties vai tikt konstatētas nākotnē. Attiecībā uz konkrēto jautājumu gan projekta anotācijā, gan Eiropas Komisijas 2021. gada 2. decembra argumentētajā atzinumā pārkāpumu procedūras lietā Nr. 2020/2078 norādīts, ka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Direktīvas 2013/59) 101. panta mērķis ir panākt, ka tiek organizēta stratēģiju izstrāde, kas nodrošinātu pienācīgu pārvaldību </w:t>
            </w:r>
            <w:r w:rsidR="00000000" w:rsidRPr="00000000" w:rsidDel="00000000">
              <w:rPr>
                <w:u w:val="single"/>
                <w:rtl w:val="0"/>
              </w:rPr>
              <w:t xml:space="preserve">ne tikai esošajām</w:t>
            </w:r>
            <w:r w:rsidR="00000000" w:rsidRPr="00000000" w:rsidDel="00000000">
              <w:rPr>
                <w:rtl w:val="0"/>
              </w:rPr>
              <w:t xml:space="preserve"> </w:t>
            </w:r>
            <w:r w:rsidR="00000000" w:rsidRPr="00000000" w:rsidDel="00000000">
              <w:rPr>
                <w:u w:val="single"/>
                <w:rtl w:val="0"/>
              </w:rPr>
              <w:t xml:space="preserve">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paredzot noteikumus attiecībā uz stratēģijām, šķietami tiek sasniegts Direktīvas 2013/59 mērķis (nodaļa satur nosacījumus ne tikai attiecībā uz esošajām apstarošanas situācijām). Lūdzam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"noteikumi Nr. 149". Attiecīgi lūdzam veikt nepieciešamos precizējumumus un korekti pieteikt, lietot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daļa no anotācijas 1.3. apakšpunkta pašreizējās situācijas apraksta informācijas šķietami ir attiecināma uz anotācijas 1.3. apakšpunkta problēmu un risinājumu sadaļu, jo skaidro nevis pašreizējo situāciju, bet gan raksturo projektā plānotos grozījumus.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tabulā skaidrojot "Direktīvas 2013/59/Euratom 9. panta 3. punkta a) apakšpunkts" ieviešanu, norādot uz projekta vienību, kas ievieš konkrēto Direktīvas 2013/59 apakšpunktu, lūdzam, aizpildot attiecīgo sadaļu, ievērot pierakstu, formulējumu kāds lietots citās tabulas "B" kolonnas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anotācijas 5.4. apakšpunkta 1. tabulu, no kuras nav pilnībā skaidrs kā tiek izpildītas Latvijas starptautiskās saistības attiecībā uz Direktīvas 2013/59 ieviešanu. Iesakām pārskatīt attiecīgo anotācijas sadaļu un, atbilstoši anotācijas izstrādes vadlīnijām, lūdzam tabulā “Tiesību akta projekta atbilstība ES tiesību aktiem” raksturot projekta atbilstības pakāpi Eiropas Savienības tiesību aktiem, norādot katru attiecīgā tiesību akta pantu, daļu, punktu, apakšpunktu, kas jāpārņem vai jāievieš nacionālajā tiesību sistēmā, vai arī tabulas sadaļā cita informācija skaidrojot kā konkrētās saistības ir izpildītas. Tādā veidā nodrošinot pilnīgu, skaidru, konkrētu un nepārprotamu informāciju par Direktīvas 2013/59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tiesību akta projekta izpildes nodrošināšanas ietekmi uz Valsts vides dienesta Radiācijas drošības centru. Anotācijas 7.5.apakšpunktā norādīts, ka “Nav prognozējama palielināta institūciju īpaši Valsts vides dienesta Radiācijas drošības centra noslodze, ņemot vērā, ka ir apzināts, ka Latvijā nav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apstarošanas situāciju un piesārņoto teritoriju, kas varētu radīt apdraudējumu no radiācijas drošības viedokļa un kurām būtu jāizstrādā radioaktīvi piesārņoto vietu pārvaldības stratēģija”. Tajā pašā laikā Eiropas Komisijas 2021. gada 2. decembra argumentētajā atzinumā pārkāpumu procedūras lietā Nr. 2020/2078 norādīts, ka Direktīvas 2013/59 101. panta mērķis ir panākt, ka tiek organizēta stratēģiju izstrāde, kas nodrošinātu pienācīgu pārvaldību ne tikai esošajām 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anotācijas 7. punktu, izvērtējot projekta ietekmi uz Valsts vides dienesta Radiācijas drošības centru un nepieciešamības gadījumā veicot papildinājumus, piemēram, anotācijas 7.1.apakšpunkta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09.05.2023.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09.05.2023.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Atzinumi_23-TA-6.docx</dc:title>
</cp:coreProperties>
</file>

<file path=docProps/custom.xml><?xml version="1.0" encoding="utf-8"?>
<Properties xmlns="http://schemas.openxmlformats.org/officeDocument/2006/custom-properties" xmlns:vt="http://schemas.openxmlformats.org/officeDocument/2006/docPropsVTypes"/>
</file>