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24-TA-3218: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2000. gada 26. septembra noteikumos Nr. 330 "Vakcinācijas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Starptautisko inovatīvo farmaceitisko firmu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2000. gada 26. septembra noteikumos Nr. 330 "Vakcinācijas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SIFFA atbalsta Vakcinācijas noteikumu tālāku virzību,</w:t>
            </w:r>
            <w:r w:rsidR="00000000" w:rsidRPr="00000000" w:rsidDel="00000000">
              <w:rPr>
                <w:rtl w:val="0"/>
              </w:rPr>
              <w:t xml:space="preserve"> tomēr aicina apsvērt sekojošus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izteikt 3.7. punktu sekojošā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3.7. bērni no viena gada līdz 18 gadu vecuma sasniegšanai – pret ērču encefalītu.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23.1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  </w:t>
            </w:r>
            <w:r w:rsidR="00000000" w:rsidRPr="00000000" w:rsidDel="00000000">
              <w:rPr>
                <w:rtl w:val="0"/>
              </w:rPr>
              <w:t xml:space="preserve">Saskaņā ar zinātniskiem datiem visa Latvijas teritorija atrodas ērču encefalīta endēmiskajā reģionā (WHO dati, ASV CDC Yellow Book). Latvijā ir viens no augstākiem ērču encefalīta incidences līmeņiem Eiropā – 12.6 gadījumi uz 100 000 iedzīvotājiem gadā (Zane Freimane, Guntis Karelis, Maksims Zolovs, Dace Zavadska,  2024. doi.org/10.1371/journal.pone.0305120). Ņemot vērā šos faktus ir nepieciešams palielināt bērnu vakcinācijas pret ērču encefalītu aptveri visā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papildināt 3.2 punktā minētās infekciju slimības ar Pneimokoku infekciju.</w:t>
            </w:r>
            <w:r w:rsidR="00000000" w:rsidRPr="00000000" w:rsidDel="00000000">
              <w:rPr>
                <w:rtl w:val="0"/>
              </w:rPr>
              <w:t xml:space="preserve"> Noteikumu 44. punktā noteikt  riska grupu pacientus, kam tiks nodrošināta valsts apmaksātā vakcinācija pret pneimokoku infekciju. Veikt nepieciešamās redakcionālās izmaiņas citos saistītos MK noteikumu punktos.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 </w:t>
            </w:r>
            <w:r w:rsidR="00000000" w:rsidRPr="00000000" w:rsidDel="00000000">
              <w:rPr>
                <w:rtl w:val="0"/>
              </w:rPr>
              <w:t xml:space="preserve"> SPKC publicētās “Praktiskās rekomendācijas vakcinācijai veseliem pieaugušajiem un riska grupu indivīdiem Latvijā (https://www.spkc.gov.lv/lv/vakcinacija). Imunizācijas valsts padomes rekomendācijas (IVP 2022.gada 02.novembra sanāksmes protokols) (https://www.vm.gov.lv/lv/imunizacijas-valsts-padome)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IVP stingri rekomendē: “Riska grupu pacientiem un 65+ senioriem rast iespēju vakcināciju ar PCV nodrošināt par valsts budžeta līdzekļiem. Nekavējoties tas būtu nodrošināms augstas imūnsupresijas pacientiem, t.sk. pirms imūnsupresējošās terapijas uzsākšanas, pielietojot konjugēto pneimokoku vakcīnu ar maksimālo serotipu skaitu tajā”.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Tāpat aicinām anotācijā skaidrot sekojošus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iekļaut pamatojumu sekojošam noteikumu redakcijā iekļautajam punktam: "9.1 Atbilstoši rekomendācijām, kas tiek publicētas Slimību profilakses un kontroles centra tīmekļvietnē, ir pieļaujama vakcīnu mērķtiecīga ārpusmarķējuma lietošana."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44.1 punkta tika svītrots riska grupu saraksts (personas kurām no valsts budžeta līdzekļiem veic vakcināciju pret sezonālo gripu). Ar izmaiņām tiek plānots, ka riska grupu saraksts tiks publicēts SPKS tīmekļvietnē. Cik bieži SPKC pārskatīs šo sarakstu un kāds būs saraksta pārskatīšanas pamatojums? Vai Riska grupu izslēgšana no MK noteikumiem ir saistīta ar pašlaik definēto riska grupu vakcinācijai nepieciešamā budžeta nepietiekamību un tādēļ riska grupas tiks samazinātas?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Vladislava Marāne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24-TA-3218</w:t>
    </w:r>
    <w:r>
      <w:br/>
    </w:r>
    <w:r w:rsidR="00000000" w:rsidRPr="00000000" w:rsidDel="00000000">
      <w:rPr>
        <w:rtl w:val="0"/>
      </w:rPr>
      <w:t xml:space="preserve">Izdrukāts 03.06.2025. 15.20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24-TA-3218</w:t>
    </w:r>
    <w:r>
      <w:br/>
    </w:r>
    <w:r w:rsidR="00000000" w:rsidRPr="00000000" w:rsidDel="00000000">
      <w:rPr>
        <w:rtl w:val="0"/>
      </w:rPr>
      <w:t xml:space="preserve">Izdrukāts 03.06.2025. 15.20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Atzinumi_24-TA-3218.docx</dc:title>
</cp:coreProperties>
</file>

<file path=docProps/custom.xml><?xml version="1.0" encoding="utf-8"?>
<Properties xmlns="http://schemas.openxmlformats.org/officeDocument/2006/custom-properties" xmlns:vt="http://schemas.openxmlformats.org/officeDocument/2006/docPropsVTypes"/>
</file>