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24-TA-1631: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attīstības pamatnostādņu 2021. – 2027. gadam „Nākotnes prasmes nākotnes sabiedrībai” RĪCĪBAS PLĀNS 2024. –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Darbības Nr.1.1.4.1.a.Paaugstināts atalgojums pedagogiem saskaņā ar pedagogu zemākās darba samaksas pieauguma grafiku 2.rezultatīvo rādītāju "Izstrādāts un apstiprināts jauns pedagogu zemākās darba samaksas likmes pieauguma grafiks laikposmam no 2026.gada 1.janvāra līdz 2028.gada 31.decembrim visām pedagogu grupām." atbilstoši Valdībā lemtajam un 22.11.2024. Starpinstitūciju sanāksmē noteiktajam,- par pedagogu zemākās darba algas likmes noteikšanu pēc Atlīdzības likuma principiem, kas nosaka bāzes mēnešalgu, ko reizina ar noteiktu koeficientu, tos iestrādājot Izglītības likumā vai Atlīdzības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16.01.2025.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16.01.2025.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Atzinumi_24-TA-1631.docx</dc:title>
</cp:coreProperties>
</file>

<file path=docProps/custom.xml><?xml version="1.0" encoding="utf-8"?>
<Properties xmlns="http://schemas.openxmlformats.org/officeDocument/2006/custom-properties" xmlns:vt="http://schemas.openxmlformats.org/officeDocument/2006/docPropsVTypes"/>
</file>