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25-TA-2571: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7. maija noteikumos Nr. 285 "Eiropas Savienības kohēzijas politikas programmas 2021.–2027. gadam 2.2.1. specifiskā atbalsta mērķa "Veicināt ilgtspējīgu ūdenssaimniecību"  2.2.1.1. pasākuma "Notekūdeņu un to dūņu apsaimniekošanas sistēmas attīstība piesārņojuma samazināšanai"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kā kārtējo gadu norādīt 2025.gadu.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to, ka noteikumu projekts ir par 2.2.1.1. pasākuma pirmo projektu iesniegumu atlases kārtu, lūdzam anotācijas 3.sadaļas 6.punktā informāciju par finansējumu 2.2.1.1. pasākuma otrās un trešās atlases kārtas ietvaros pārcelt uz anotācijas 3.sadaļas punktu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 (Ilze Kote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sēdes protokollēmuma 4.punktu lūdzam papildināt noteikumu projekta anotāciju ar pamatojumu, kādi ir faktiskie apstākļi, kāpēc grozījumi Ministru kabineta 2025. gada 22. jūlija noteikumos Nr. 471 "Eiropas Savienības kohēzijas politikas programmas 2021.–2027. gadam 2.2.1. specifiskā atbalsta mērķa "Veicināt ilgtspējīgu ūdenssaimniecību" 2.2.1.1. pasākuma "Notekūdeņu un to dūņu apsaimniekošanas sistēmas attīstība piesārņojuma samazināšanai" trešās projektu iesniegumu atlases kārtas īstenošanas noteikumos" tiks veikti tikai pie būtiskiem grozījumiem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Projekta iesniedzējs iesniedz sadarbības iestādē vispārējas tautsaimnieciskas nozīmes pakalpojuma pilnvarojuma uzlicēja apliecinājumu par šo noteikumu </w:t>
            </w:r>
            <w:r w:rsidR="00000000" w:rsidRPr="00000000" w:rsidDel="00000000">
              <w:rPr>
                <w:rtl w:val="0"/>
              </w:rPr>
              <w:t xml:space="preserve">16.6.</w:t>
            </w:r>
            <w:r w:rsidR="00000000" w:rsidRPr="00000000" w:rsidDel="00000000">
              <w:rPr>
                <w:rtl w:val="0"/>
              </w:rPr>
              <w:t xml:space="preserve"> apakšpunktā minētās atlīdzības (kompensācijas) maksājumu kontroli un pārskatīšanu, kā arī minēto atlīdzības (kompensācijas) maksājumu pārmaksas novēršanu un atgūšanu, ievērojot Eiropas Savienības līmenī noteikto pārbaužu regularitāti, bet ne retāk kā reizi trijos gados un pilnvarojuma akta darbības perioda beigās.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administratīvā sloga samazināšanas pasākumus, kur vairs nav nepieciešams iesniegt CFLA pilnvarojuma uzlicēja apliecinājumu par pārkompensācijas kontroli, lūdzam šo punktu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Akmentiņa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36.3. nodrošina interešu konflikta neesību saskaņā ar Eiropas Parlamenta un Padomes 2018. gada 18. jūlija Regulas (ES, Euratom) Nr.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w:t>
            </w:r>
            <w:r w:rsidR="00000000" w:rsidRPr="00000000" w:rsidDel="00000000">
              <w:rPr>
                <w:rtl w:val="0"/>
              </w:rPr>
              <w:t xml:space="preserve">1296/2013</w:t>
            </w:r>
            <w:r w:rsidR="00000000" w:rsidRPr="00000000" w:rsidDel="00000000">
              <w:rPr>
                <w:rtl w:val="0"/>
              </w:rPr>
              <w:t xml:space="preserve">, (ES) Nr.  </w:t>
            </w:r>
            <w:r w:rsidR="00000000" w:rsidRPr="00000000" w:rsidDel="00000000">
              <w:rPr>
                <w:rtl w:val="0"/>
              </w:rPr>
              <w:t xml:space="preserve">1301/2013</w:t>
            </w:r>
            <w:r w:rsidR="00000000" w:rsidRPr="00000000" w:rsidDel="00000000">
              <w:rPr>
                <w:rtl w:val="0"/>
              </w:rPr>
              <w:t xml:space="preserve">, (ES) Nr.  </w:t>
            </w:r>
            <w:r w:rsidR="00000000" w:rsidRPr="00000000" w:rsidDel="00000000">
              <w:rPr>
                <w:rtl w:val="0"/>
              </w:rPr>
              <w:t xml:space="preserve">1303/2013</w:t>
            </w:r>
            <w:r w:rsidR="00000000" w:rsidRPr="00000000" w:rsidDel="00000000">
              <w:rPr>
                <w:rtl w:val="0"/>
              </w:rPr>
              <w:t xml:space="preserve">, (ES) Nr.  </w:t>
            </w:r>
            <w:r w:rsidR="00000000" w:rsidRPr="00000000" w:rsidDel="00000000">
              <w:rPr>
                <w:rtl w:val="0"/>
              </w:rPr>
              <w:t xml:space="preserve">1304/2013</w:t>
            </w:r>
            <w:r w:rsidR="00000000" w:rsidRPr="00000000" w:rsidDel="00000000">
              <w:rPr>
                <w:rtl w:val="0"/>
              </w:rPr>
              <w:t xml:space="preserve">, (ES) Nr.  </w:t>
            </w:r>
            <w:r w:rsidR="00000000" w:rsidRPr="00000000" w:rsidDel="00000000">
              <w:rPr>
                <w:rtl w:val="0"/>
              </w:rPr>
              <w:t xml:space="preserve">1309/2013</w:t>
            </w:r>
            <w:r w:rsidR="00000000" w:rsidRPr="00000000" w:rsidDel="00000000">
              <w:rPr>
                <w:rtl w:val="0"/>
              </w:rPr>
              <w:t xml:space="preserve">, (ES) Nr.  </w:t>
            </w:r>
            <w:r w:rsidR="00000000" w:rsidRPr="00000000" w:rsidDel="00000000">
              <w:rPr>
                <w:rtl w:val="0"/>
              </w:rPr>
              <w:t xml:space="preserve">1316/2013</w:t>
            </w:r>
            <w:r w:rsidR="00000000" w:rsidRPr="00000000" w:rsidDel="00000000">
              <w:rPr>
                <w:rtl w:val="0"/>
              </w:rPr>
              <w:t xml:space="preserve">, (ES) Nr.  </w:t>
            </w:r>
            <w:r w:rsidR="00000000" w:rsidRPr="00000000" w:rsidDel="00000000">
              <w:rPr>
                <w:rtl w:val="0"/>
              </w:rPr>
              <w:t xml:space="preserve">223/2014</w:t>
            </w:r>
            <w:r w:rsidR="00000000" w:rsidRPr="00000000" w:rsidDel="00000000">
              <w:rPr>
                <w:rtl w:val="0"/>
              </w:rPr>
              <w:t xml:space="preserve">, (ES) Nr.  </w:t>
            </w:r>
            <w:r w:rsidR="00000000" w:rsidRPr="00000000" w:rsidDel="00000000">
              <w:rPr>
                <w:rtl w:val="0"/>
              </w:rPr>
              <w:t xml:space="preserve">283/2014</w:t>
            </w:r>
            <w:r w:rsidR="00000000" w:rsidRPr="00000000" w:rsidDel="00000000">
              <w:rPr>
                <w:rtl w:val="0"/>
              </w:rPr>
              <w:t xml:space="preserve"> un Lēmumu Nr. 541/2014/ES un atceļ Regulu (ES, Euratom) Nr. 966/2012, 61. panta un sabiedrisko pakalpojumu sniedzēju iepirkumus regulējošo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svītrot noteikumu 36.3. apakšpunktā atsauci uz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 ņemot vērā to, ka minētās regulas 61.pants, kā arī šobrīd spēkā esošās Eiropas Parlamenta un Padomes 2024. gada 23. septembra Regulas (ES, Euratom) 2024/2509 par finanšu noteikumiem, ko piemēro Savienības vispārējam budžetam (pārstrādātā redakcija) (turpmāk - Finanšu regula) 61.panta prasības ir tieši piemērojamas tādiem projektiem, kas saistīti ar Eiropas Savienības (ES) fondu atbalsta saņemšanu un vienlaikus kuros atbilstoši specifiskā atbalsta mērķim finansējuma saņēmējs atlases kārtībā ES fondu dalībniekiem, gala saņēmējiem vai sadarbības partneriem sniedz finansiālu atbalstu (t.s. daudzpakāpju projekti). Ņemot vērā, ka konkrētajā gadījumā atbilstoši specifiskajam atbalsta mērķim netiek īstenots daudzpakāpju projekts un tādējādi Finanšu regulas 61.panta prasības netiek tieši attiecinātas uz finansējuma saņēmēju, lūdzam izvērtēt iespēju noteikumu 36.3.punktā neiekļaut atsauci uz Finanšu regulas 61.pantu.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interešu konflikta neesību saskaņā ar sabiedrisko pakalpojumu sniedzēju iepirkumus regulējošo normatīvo aktu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25-TA-2571</w:t>
    </w:r>
    <w:r>
      <w:br/>
    </w:r>
    <w:r w:rsidR="00000000" w:rsidRPr="00000000" w:rsidDel="00000000">
      <w:rPr>
        <w:rtl w:val="0"/>
      </w:rPr>
      <w:t xml:space="preserve">Izdrukāts 14.11.2025. 14.44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25-TA-2571</w:t>
    </w:r>
    <w:r>
      <w:br/>
    </w:r>
    <w:r w:rsidR="00000000" w:rsidRPr="00000000" w:rsidDel="00000000">
      <w:rPr>
        <w:rtl w:val="0"/>
      </w:rPr>
      <w:t xml:space="preserve">Izdrukāts 14.11.2025. 14.44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Atzinumi_25-TA-2571.docx</dc:title>
</cp:coreProperties>
</file>

<file path=docProps/custom.xml><?xml version="1.0" encoding="utf-8"?>
<Properties xmlns="http://schemas.openxmlformats.org/officeDocument/2006/custom-properties" xmlns:vt="http://schemas.openxmlformats.org/officeDocument/2006/docPropsVTypes"/>
</file>