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mājās, to teritoriju labiekārtošanai un daudzdzīvokļu mājām noteikto atsavināmo zemju izpirkšanai"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 Ja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atbalsta saņēmējs vienlaikus darbojas vienā vai vairākās Komisijas regulas Nr.2023/2831 1.panta 1.punkta a), b), c) un d) apakšpunktā minētajās nozarēs, atbalstu drīkst piešķirt tikai tad, ja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atbalsta saņēmējs nodrošina šo nozaru darbību vai uzskaites nodalīšanu, lai saskaņā ar Komisijas regulas Nr.2023/2831 1.panta 2.punktu darbības izslēgtajās nozarēs negūst labumu no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atbalsta, ko piešķir saskaņā ar noteikumiem.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redakcionāli precizēt projekta 12. punktā izteikto noteikumu 24. punktu beigu daļu, konkretizējot, saskaņā ar kuriem noteikumiem piešķir atbalstu (proti, atbalstu piešķir "saskaņā ar </w:t>
            </w:r>
            <w:r w:rsidR="00000000" w:rsidRPr="00000000" w:rsidDel="00000000">
              <w:rPr>
                <w:u w:val="single"/>
                <w:rtl w:val="0"/>
              </w:rPr>
              <w:t xml:space="preserve">šiem </w:t>
            </w:r>
            <w:r w:rsidR="00000000" w:rsidRPr="00000000" w:rsidDel="00000000">
              <w:rPr>
                <w:rtl w:val="0"/>
              </w:rPr>
              <w:t xml:space="preserve">noteikumiem").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03.06.2024.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03.06.2024.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