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Citējot: "VARAM uzskata, ka ir nepieciešama pastāvīga investīciju programma, kas ļautu pašvaldībām neatkarīgi no Eiropas Savienības fondu plānošanas perioda prioritātēm īstenot vietējā līmeņa attīstībai nozīmīgus projektus dažādu reformu ietvaros. Ja minēto prioritāro pasākumu atbalstīs, pašvaldībām finansējums būs pieejams no 2025.gada, ko būtu iespējams izmantot pašvaldību specifiskiem risinājumiem, t.sk. SEG emisiju samazināšanas un pielāgošanās klimata pārmaiņām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ka ņemts vērā komentārs par nepieciešamību pēc finansējuma šiem pasākumiem, taču lūdzam nepārprotami noteikt, ka pašvaldību rīcībai jāseko komplektā ar attiecīgu finansējumu. No augstāk citētā secināms, ka pašvaldību pusē ir pienākumu kopums, kas iestājas noteiktā brīdī, taču finansējuma rašanas plāns šobrīd ir ieceres līmenī. Atkārtoti uzsveram, ka pašvaldībām rast papildus līdzekļus šim mērķim nebūs iespējams, likumdevējam jānosaka nepārprotamus "spēles noteikumus" jau šajā stadijā - kāds būs finansējuma apmērs, nosacījumi tā saņemšanai, termiņi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