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finansējuma saņēmējs izstrādā nosacījumus, kā tas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 Kā arī, ņemot vērā finansējuma saņēmēju specifiku, aicinām noteikumu projektā iekļaut prasību, ka finansējuma saņēmējs un sadarbības partneris paraksta interešu konflikta neesamības apliecinājumu. Vēršam uzmanību, ka apliecinājumā obligāti ietver atsauci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Uzņēmums šo noteikumu izpratnē ir liels, vidējs vai mazs uzņēmums bez valsts vai pašvaldību kapitāla daļas. Mazs un vidējs uzņēmums šo noteikumu izpratnē ir uzņēmums, kas atbilst Eiropas Komisijas 2014. gada 17. jūnija Regulas (ES) </w:t>
            </w:r>
            <w:r w:rsidR="00000000" w:rsidRPr="00000000" w:rsidDel="00000000">
              <w:rPr>
                <w:rtl w:val="0"/>
              </w:rPr>
              <w:t xml:space="preserve">Nr. 651/2014</w:t>
            </w:r>
            <w:r w:rsidR="00000000" w:rsidRPr="00000000" w:rsidDel="00000000">
              <w:rPr>
                <w:rtl w:val="0"/>
              </w:rPr>
              <w:t xml:space="preserve">, ar ko noteiktas atbalsta kategorijas atzīst par saderīgām ar iekšējo tirgu, piemērojot Līguma 107. un 108. pantu (turpmāk – regula Nr. 651/2014), I pielikuma 2. pantam. Liels uzņēmums šo noteikumu izpratnē ir uzņēmums, kas neatbilst regulas </w:t>
            </w:r>
            <w:r w:rsidR="00000000" w:rsidRPr="00000000" w:rsidDel="00000000">
              <w:rPr>
                <w:rtl w:val="0"/>
              </w:rPr>
              <w:t xml:space="preserve">Nr. 651/2014</w:t>
            </w:r>
            <w:r w:rsidR="00000000" w:rsidRPr="00000000" w:rsidDel="00000000">
              <w:rPr>
                <w:rtl w:val="0"/>
              </w:rPr>
              <w:t xml:space="preserve"> I pielikumā noteiktajiem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9.martā Eiropas Komisija apstiprināja grozījumus Komisijas regulā Nr.651/2014. Plānots, ka Regula ar grozījumiem tiks oficiāli pieņemta pēc teksta tulkošanas visās ES oficiālajās valodās. Pēc tam grozījumi stāsies spēkā nākamajā dienā pēc tā publicēšanas Eiropas Savienības Oficiālajā Vēstnesī. Attiecīgi lūdzam pārskatīt un precizēt nosacījumus, kas izriet no Komisijas regulas Nr.651/2014 grozījumiem, tādējādi nodrošinot atbilstību komercdarbības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pieejama: https://ec.europa.eu/commission/presscorner/detail/en/ip_23_1523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Rādītāju vērtību sasniegšanas progresu projektā sadarbības iestāde uzrauga katru gadu. Ja finansējuma saņēmējs sasniedz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komersantu skaita, izveidoto darbavietu un privāto nefinanšu investīciju rādītāju vērtības, sadarbības iestāde turpmāko rādītāju izpildes kontroli neveic.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nosacījums sadarbības iestādei rādītāju vērtību sasniegšanas progresu projektā uzraudzīt katru gadu. Sadarbības iestāde rādītāju vērtību sasniegšanu projektos uzrauga atbilstoši finansējuma saņēmēju iesniegtajai informācijai par rādītāju sasniegtajām vērtībām. Lūdzam svītrot 12.punkta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Atbalstu speciālās ekonomiskās zonas pārvaldei sniedz tikai darbībām ārpus teritorijas, kurā tiek veikta ostas pamatdarbība, un kas nav saistītas ar investīcijām ostas pamatdarbības infrastruktūrā.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ierobežojums būtu attiecināms tikai uz komercdarbības atbalstu, kas tiek piešķirts ar Komisijas regulas Nr.651/2014 56.pantu, nevis atbalstam, kas tiek piešķirts ar citu komercdarbības atbalsta regulējumu. Ja atbalsta programmas izstrādātājs neplāno noteikt stingrākas prasības nekā to paredz komercdarbības atbalsta regulējums, aicinām pārskatīt un precizēt šo noteikumu projekta punktu. Lūdzam pārvērēt šo normu arī kontekstā ar eWiki Eiropas Komisijas atbildēm 2017.11.07 un 2017.11.29 saistībā ar Komisijas regulas Nr.651/2014 56.pantu, t.i., ka netiks atbalstītas investīcijas (t.sk., noliktavas) ostas infrastruktūrā atbilstoši Komisijas regulas Nr.651/2014 56.panta 2.punktā ietvertajam ierobežojumam.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Pasākuma ietvaros ir atbalstāmas šādas darbības uzņēmējdarbības teritorijās publiskās infrastruktūras attīstībai un pieejamībai, kas veicina pāreju uz klimatneitrālu ekonomiku, tai skaitā atbalstāmi pasākumi, kas samazina siltumnīcefekta gāzu emisijas vai veicina oglekļa dioksīda piesaisti, saskaņā ar pašvaldības attīstības programmā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nekorektu interpretācijas risku, lūdzam svītrot vārdu "publiskās", ņemot vērā, ka zemāk noteikumu projekta ietvaros paredzēti ieguldījumi ne vien publiskās personas infrastruktūrā, bet arī privātpersonu infrastruktūrā.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31.3.6. nekustamā īpašuma iegādes izmaksas, nepārsniedzot 10 procentus no projekta kopējām attiecināmajām izmaksām, ja nekustamā īpašuma iegāde nepieciešama projekta ietvaros plānotās pievedceļu infrastruktūrai atjaunošanai vai ierīkošanai;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skaidrs, kādu komercdarbības regulējumu šīm izmaksām plānots piemērot. Lūdzam attiecīgi precizēt noteikumu 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31.4.7. bezemisiju transportlīdzekļu, kas darbināmi ar elektroenerģiju, uzlādes infrastruktūras izbūve uzņēmējdarbības teritorijā, ja tā ir daļa no ēkas, tai skaitā palīgēku, infrastruktūras, ar izejas jaudu vismaz 150 kW;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Komisijas regulā Nr.651/2014 tika veiktas izmaiņas 36.a panta piemērošanas nosacījumos, paredzot iespēju to attiecināt arī uz privāto uzlādes infrastruktūru, aicinām izvērtēt iespēju papildināt noteikumu projektu ar atbalsta piešķiršanas iespēju saskaņā ar Komisijas regulas Nr.651/2014 36.a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elektroenerģijas infrastruktūras izmaksas veic, ja atbalstītie infrastruktūras objekti pēc projekta īstenošanas ir sadales sistēmas operatora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 saprot ar elektroenerģijas infrastruktūras izmaksām un pārliecināties, ka tās netiek segtas ar Komisijas regulas Nr.651/2014 14.pantu.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Izmaksas ir attiecināmas no projekta iesnieguma iesniegšanas brīža, un būvdarbu līgumu slēdz un ar ieguldījumiem saistītus būvdarbus uzsāk pēc projekta iesnieguma iesniegšanas, izņemot projekta pamatojošās dokumentācijas sagatavošanas izmaksas, kas ir attiecināmas no 2021.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nekorektas interpretācijas risku, ka projektā radušās izmaksas var tikt attiecinātas arī gadījumos, ja darbi pie projekta tika uzsākti pirms projekta iesnieguma iesniegšanas, tādējādi pārkāpjot stimulējošās ietekmes prasību (atbilstoši Komisijas regulas Nr.651/2014 6.pantam), nepieciešams papildināt noteikumu projektu ar nosacījumu, ka, lai izpildītu Komisijas regulas Nr. 651/2014 6. panta 2. punktā minēto stimulējošās ietekmes prasību, darbus pie projekta atbilstoši Komisijas regulas Nr. 651/2014 2. panta 23. punktam uzsāk īstenot pēc projekta iesnieguma iesniegšanas atbalsta sniedzējinstitūcijā un projekta iesniegums atbilst Komisijas regulas Nr. 651/2014 6. panta 2. punktā ietvertajām prasībām par pieteikumā iekļaujamo informāciju. Skaidrojam, ka, ja projekta īstenošana ir uzsākta pirms projekta iesnieguma iesniegšanas, projekta iesniegumu noraida (neatkarīgi no tā, ja pirms projekta iesnieguma iesniegšanas radušās izmaksas būtu segtas no privātiem resursiem). Vienlaikus lūdzam noteikumu projektu papildināt ar "darbu sākuma" definīciju atbilstoši Komisijas regulas Nr. 651/2014 2. panta 23. punktam. Izmaksām, kas kā izņēmums minētas "darbu sākuma" definīcijā un radušās pirms projekta pieteikuma iesniegšanas, atbalstu nevar piešķirt, piemēram, ar Komisijas regulas Nr.651/2013 14.pantu, taču tās ir iespējams attiecināt no publiskajiem resursiem, piemērojot Komisijas regulas Nr. 1407/2013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Projekta iesniegumu, kurā ir paredzēta komercdarbības atbalsta kumulācija, vienlaikus iesniedz sadarbības iestādē un pārējās iesaistītajās komercdarbības atbalsta piešķīrējinstitūcijās. Ja projekta iesniegums netiek iesniegts vienlaikus visās komercdarbības atbalsta piešķīrējinstitūcijās, tad izmaksas projekta darbībām, kas tiek ieviestas saskaņā ar regulas Nr. 651/2014 14., 41., 48.un 56.pantu, ir attiecināmas no dienas, kurā projekta iesniegums iesniegts pēdējā no komercdarbības atbalsta piešķīrējinstitūcijām, arī būvdarbu līgumu slēdz un ar ieguldījumiem saistītus būvdarbus uzsāk pēc projekta iesnieguma iesniegšanas pēdējā no komercdarbības atbalsta piešķīrējinstitūcijām.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kumulācijas pārkāpuma risku, lūdzam pārskatīt noteikumu projekta 38.punktu, nodrošinot, ka, ja projektam piesaista citu publisko finansējumu, projektu var uzsākt, pēc tam, kad visās iestādēs, kurās pretendē uz atbalstu, ir iesniegts pieteikums un ir pieņemts lēmums par atbalsta piešķiršanu vai noslēgts līgums (ja atbalstu nepiešķir ar atbalsta sniedzēja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gadījumā, ja atbalsta pretendents izmanto šī noteikumu projekta 38. punktā paredzēto kumulāciju, nepieciešams papildināt noteikumu projektu ar nosacījumu, ka tas, pretendējot uz atbalstu saskaņā ar šiem noteikumiem, norāda visu informāciju par plānoto un piešķirto atbalstu tajā pašā projektā, tai skaitā par tām pašām attiecināmajām izmaksām, norādot atbalsta piešķiršanas datumu, atbalsta sniedzēju, atbalsta pasākumu un plānoto vai piešķirto atbalsta summu, kā arī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šo noteikumu projekta punktu atbilstoši izteiktajam iebildumam pie noteikumu projekta 37. punkta attiecībā uz atbilstību stimulējošās ietekmes prasībai.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Projekta īstenošanas gaitā radušās sadārdzinājuma izmaksas finansējuma saņēmējs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40.punktu, ka attiecībā uz šajos noteikumos minētajiem komercdarbības atbalsta projektiem sadārdzinājuma izmaksas jāsedz no līdzekļiem, kas ir brīvi no jebkāda komerdarbības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Projektā plānotajām darbībām un izmaksām, kurām atbalsts nav kvalificējams kā komercdarbības atbalsts (piemēram, publiski pieejamu pievedceļu vai stāvlaukumu atjaunošana vai ierīkošana pie pašvaldības noteiktām uzņēmējdarbības teritorijām), maksimālā Taisnīgas pārkārtošanās fonda finansējuma intensitāte ir 85 procenti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 pārvaldes uzdevumu izpildi, vai publiski privātā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publiski pieejamu pievedceļu, stāvlaukumu atjaunošana un ierīkošana pie pašvaldības noteiktām uzņēmējdarbības teritorijām, kas ir attiecīgo uzņēmumu interesēs, kvalificējas, kā komercdarbības atbalsts. Tikai tādas infrastruktūras izveide, atjaunošana, kas tiek izmantota visas sabiedrības interesēs nevis mērķtiecīgi izbūvēta attiecīgā uzņēmuma komerciālās interesēs, var tikt uzskatīta par publisko infrastruktūru un nav jāpiemēro komercdarbības atbalsta kontroles regulējums. Lūdzam skatīt arī Komisijas 2014. gada 1. oktobra lēmumu lietā SA.36147 – Alleged infrastructure aid for Propapier un un Komisijas 2016. gada 8. janvāra lēmumu lietā SA.36019 – Road infrastructure measures in the vicinity of a real estate project – Uplace. Turklāt, vēršam uzmanību, ka atbalsts tikai tādu autostāvvietu ierīkošanai vai uzlabošana nekvalificējas kā komercdarbības atbalsts, kuras pieejamas ikvienam bez piekļuves ierobežojumiem un bez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ja atbalstu piešķir lielajam komersantam būtiskām pārmaiņām ražošanas procesā, attiecināmās izmaksas ir lielākas nekā izmaksas ar modernizējamo darbību saistīto aktīvu amortizācijai iepriekšējo triju fiskālo gadu laikā, bet attiecībā uz atbalstu, ko piešķir esošas uzņēmējdarbības vietas darbības dažādošanai, attiecināmās izmaksas vismaz par 200 procentiem pārsniedz atkārtoti izmantoto aktīvu uzskaites vērtību, kas reģistrēta iepriekšējā fiskālajā gadā pirms darbu sākšanas;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Komisijas regulas Nr.651/2014 14.panta 7.punktā, vēršam uzmanību, ka nosacījums attiecībā uz atbalstu, ko piešķir esošas uzņēmējdarbības vietas darbības dažādošanai, par to, ka attiecināmajām izmaksām vismaz par 200 procentiem ir jāpārsniedz atkārtoti izmantoto aktīvu uzskaites vērtību, kas reģistrēta iepriekšējā fiskālajā gadā pirms darbu sākšanas, ir attiecināms ne vien uz lielajiem, bet arī uz maziem un vidējiem uzņēmumiem, lūdzam atbilstoši precizēt šo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44.7. atbalsta saņēmējs atbilstoši regulas Nr. 651/2014 14. panta 14. punktam nodrošina līdzfinansējumu vismaz 25 procentu apmērā no projekta attiecināmajām izmaksām, izmantojot pašu līdzekļus vai ārējo finansējumu, tai skaitā cita finansētāja izsniegtu ilgtermiņa kredītu vai finanšu līzingu, un par šo līdzfinansējumu nevar būt saņemts nekāds publiskais atbalsts, tai skaitā </w:t>
            </w:r>
            <w:r w:rsidR="00000000" w:rsidRPr="00000000" w:rsidDel="00000000">
              <w:rPr>
                <w:i w:val="1"/>
                <w:rtl w:val="0"/>
              </w:rPr>
              <w:t xml:space="preserve">de minimis</w:t>
            </w:r>
            <w:r w:rsidR="00000000" w:rsidRPr="00000000" w:rsidDel="00000000">
              <w:rPr>
                <w:rtl w:val="0"/>
              </w:rPr>
              <w:t xml:space="preserve">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viena projekta ietvaros var tikt sniegts atbalsts ar vairākiem Komisijas regulas Nr.651/2014 pantiem, lūdzam precizēt, ka šajā noteikumu projekta apakšpunktā noteiktais nosacījums attiecas tikai uz tām attiecināmajām izmaksām, kas tiek atbalstītas saskaņā ar Komisijas regulas Nr.651/2014 14.pantu.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44.8. atbalsta saņēmējs apstiprina, ka tas pēdējo divu gadu laikā pirms pieteikšanās uz atbalstu nav veicis pārcelšanu regulas Nr. 651/2014 izpratnē uz uzņēmējdarbības vietu, kurā tiks veikts sākotnējais ieguldījums, kuram pieprasīts atbalsts, un apņemas to nedarīt divus gadus pēc tam, kad ir pabeigts sākotnējais ieguldījums, kuram tiek pieprasīts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"Pārcelšanās" definīciju atbilstoši Komisijas regulas Nr.651/2014 2.panta 61.a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Ievērojot regulas Nr. 651/2014 41. panta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Komisijas regulas Nr.651/2014 41. pantā, lūdzam pārskatīt noteikumu projektā iekļautos nosacījumus, t.sk., tā 45. punktā iekļautos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 atbalstu var saņemt šādi projektu iesniedzēji vai sadarbības partneri: komersants, pašvaldība, tās izveidota iestāde, speciālās ekonomiskās zonas pārvalde, publiski privātā kapitālsabiedrība, pašvaldības kapitālsabiedrība, kas veic pašvaldības deleģēto pārvaldes uzdevumu izpildi vai ir noslēgusi pakalpojumu līgumu par sabiedrisko pakalpojumu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publiskā finansējuma piešķiršana subjektam, kurš neveic saimniecisko darbību nekvalificējas kā komercdarbības atbalsts un tādējādi uz to nav nepieciešams attiecināt Regulas Nr.651/2014 nosacījumus. Attiecīgi lūdzam pārskatīt šo noteikumu projekta punktu, izvērtējot nepieciešamību uz šajā punktā norādītajiem subjektiem, kas veic pašvaldības deleģēto pārvaldes uzdevumu izpildi, attiecināt Regulas Nr.651/2014 nosacījumus. Lūdzam sniegt skaidrojumu anotācijā, kura no pašvaldības funkcijām pieļauj tai veikt enerģijas ražošanu.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Ievērojot regulas Nr.651/2014 48. panta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Komisijas regulas Nr.651/2014 48.pantā, lūdzam pārskatīt noteikumu projekta atbalsta piešķiršanas nosacījumus, t.sk., tā 44. punktā iekļautos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atbalsta summa nepārsniedz starpību starp attiecināmajām izmaksām un pamatdarbības peļņu no ieguldījuma atbilstoši projekta iesnieguma pielikumā pievienotajai izmaksu un ieguvumu analīzei. Ņemot vērā šajā apakšpunktā minēto, atbalsta summa projektam vai attiecīgajai izmaksu pozīcijai tiek noteikta individuāli un tā nepārsniedz 85 procentus no projekta vai attiecīgās izmaksu pozīcijas attiecināmo izmaksu summas. Pārējās attiecināmās izmaksas attiecīgajai izmaksu pozīcijai finansē no privātā finansējuma, par kuru nav saņemts nekāda veida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"pamatdarbības peļņas" definīciju atbilstoši Komisijas regulas Nr.651/2014 2.panta 39.punktam.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privātpersonai – publiski privātai kapitālsabiedrībai, pašvaldības kapitālsabiedrībai, kas veic pašvaldības deleģēto pārvaldes uzdevumu izpildi – savā īpašumā vai pārvaldes uzdevumu izpildei lietošanā nodotajā publiskajā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publiskā finansējuma piešķiršana subjektam, kurš neveic saimniecisko darbību nekvalificējas kā komercdarbības atbalsts un tādējādi uz to nav nepieciešams attiecināt Regulas Nr.651/2014 nosacījumus. Attiecīgi lūdzam pārskatīt šo noteikumu projekta punktu, izvērtējot nepieciešamību uz šajā punktā norādītajiem subjektiem, kas veic pašvaldības deleģēto pārvaldes uzdevumu izpildi, attiecināt Regulas Nr.651/2014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Lēmumu par komercdarbības atbalsta piešķiršanu saskaņā ar regulas Nr. 651/2014 14. pantu pieņem līdz 2023. gada 31. decembrim, bet saskaņā ar regulas Nr. 651/2014 41., 48. un 56. pantu – līdz 2024.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atbalsta sniegšanas termiņus, atbilstoši grozījumiem Komisijas regulā Nr.651/2014.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 atbalsts netiek piešķirts grūtībās nonākušiem uzņēmumiem, t.i., tādiem komersantiem, kas atbilst vismaz vienai no regulas Nr. 651/2014 2. panta 18. punktā paredzētajām situācijām;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Komisijas regulas Nr. 651/2014 2. panta 18. punkta c) apakšpunkta nosacījumiem, lūdzam papildināt noteikumu projektu ar normu, ka šis nosacījums tiks pārbaudīts, piemēram, balstoties uz atbalsta pretendenta iesniegtu apliecinājumu, t.sk. paredzot, ka šāda apliecinājuma iesniegšana ir paredzēta atbalsta sniedzēja projektu vērtēšanas kritēriju metodikā. Lūdzam ar atbilstošu skaidrojumu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53.5. 1. panta 5. punkta nosacījumi, ka atbalsta pasākums neietver Eiropas Savienības tiesību pārkāpumus;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projekta 53.5.apakšpunktu, jo tas uzliek nosacījumu attiecībā uz pašiem noteikumu projekta nosacījumiem, ka tie nedrīkst radīt ES tiesību pārkāpumu, nevis to, ka šis nosacījums būtu pārbaudāms uz atbalsta pretendentu.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53.9. 56. panta 7. punkta nosacījums, kas paredz, ka atbrīvojumu saskaņā ar šo pantu nepiešķir mērķorientētai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"mērķorientētas infrastruktūras" definīciju atbilstoši Komisijas regulas Nr.651/2014 2.panta 33.punktam.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komercdarbības atbalstu sniedz saskaņā ar regulas Nr. 651/2014 41., 48. vai 56. pantu, sadarbības iestāde nodrošina projekta uzraudzību projekta pārskata periodā (projekta dzīves ciklā).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projekta atbilstību Komisijas regulas 48.panta 5.punktam un 56.panta 6.punktam, lūdzam papildināt noteikumu projektu ar normu, kas paredzētu, ka gadījumos, ja attiecīgajā projektā vai projekta daļā projekta pārskata periodā (projekta dzīves cikla laikā) ir radusies lielāka peļņa no pamatdarbības, nekā projektā plānots, finansējuma saņēmējs projekta pārskata perioda (projekta dzīves cikla) beigās veic izmaksu un ieguvumu analīzes pārrēķinu un sadarbības iestādei atmaksā starpību starp faktisko un plānoto peļņu no pamatdarbības.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komercdarbības atbalstu sniedz saskaņā ar regulas Nr. 651/2014 41., 48. vai 56. pantu, sadarbības iestāde nodrošina projekta uzraudzību projekta pārskata periodā (projekta dzīves ciklā).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 651/2014 41.pants neparedz projekta uzraudzību pārskata periodā. Lūdzam attiecīgi izvērtēt iespēju precizēt noteikumu projekta 56. punktu, ja nav plānots noteikumu projekta ietvaros paredzēt stingrākus nosacījumus, nekā to pieļauj Komisijas regula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57.4.5. ūdenssaimniecības un siltumapgādes sabiedrisko pakalpojumu sniedzējam piešķirtās ekskluzīvās vai īpašās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57.4.5.apakšpunkta redakciju atbilstoši Komisijas lēmuma par Līguma par Eiropas Savienības darbību 106.panta 2.punkta piemērošanu valsts atbalstam attiecībā uz kompensāciju par sabiedriskajiem pakalpojumiem dažiem uzņēmumiem, kuriem uzticēts sniegt pakalpojumus ar vispārēju tautsaimniecisku nozīmi (2012/21/ES) 4.panta c) apakšpunktam. Vēršam uzmanību, ka līgumā nav jābūt lietotam terminam 'īpašas' vai 'ekskluzīvas' tiesības, bet līgumā jābūt ietvertai īpašo vai ekskluzīvo tiesību būtībai, kā to nosaka iepriekšminētā EK lēmuma 4.panta c) apakšpunkts. Lūdzam attiecīgi pārskatīt un precizēt noteikumu projekta 57.5.6. un 57.6.apakšpunktu.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papildu komercdarbības atbalsts ūdenssaimniecības un siltumapgādes sabiedrisko pakalpojumu sniedzējiem un </w:t>
            </w:r>
            <w:r w:rsidR="00000000" w:rsidRPr="00000000" w:rsidDel="00000000">
              <w:rPr>
                <w:i w:val="1"/>
                <w:rtl w:val="0"/>
              </w:rPr>
              <w:t xml:space="preserve">de minimis</w:t>
            </w:r>
            <w:r w:rsidR="00000000" w:rsidRPr="00000000" w:rsidDel="00000000">
              <w:rPr>
                <w:rtl w:val="0"/>
              </w:rPr>
              <w:t xml:space="preserve"> atbalsts tiek piešķirts projekta īstenošanas laikā, par atbalsta piešķiršanas brīdi uzskata dienu, kad tiek parakstīti attiecīgie vienošanās vai līguma  par projekta īstenošanu grozījumi.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60.punktu, ņemot vērā to, ka no tā var nolasīt, ka de minimis atbalstu var piešķirt par tām pašām attiecināmām izmaksām, kuras tiek segtas saskaņā ar šajos noteikumos minētajiem Komisijas regulas Nr.651/2014 14., 41., 48. un 56.pantiem, tādējādi pārkāpjot stimulējošās ietekmes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Sadarbības iestāde, ja tai ir pieejami valsts budžeta līdzekļi, pamatojoties uz finansējuma saņēmēja rakstisku avansa pieprasījumu un izvērtējot plānotā avansa apmēru, tā pamatojumu un spēju to izlietot sešu mēnešu laikā (piemēram, par būvdarbiem ir pabeigts būvdarbu iepirkums vai noslēgts būvdarbu līgums), var piešķirt finansējuma saņēmējam avansu pēc civiltiesiskā līguma vai vienošanās par projekta īstenošanu noslēgšanas, ievērojot, ka avansa un starpposma maksājumu kopsumma nepārsniedz 90 procentus no projektam piešķirtā Taisnīgas pārkārtošanās fonda finansējuma apmēra.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69.punktu, norādot maksimālo pieļaujamo avansa apmēru un nosacījumu, ka avansu var izmaksāt vairākos maksājumos, vienlaikus nosakot, ka finansējuma saņēmējs avansa pieprasījumu sagatavo un sadarbības iestāde avansa pieprasījumu apstiprina, ņemot vērā nosacījumu, ka plānotā avansa apmērs, tā pamatojums atbilst spējai to izlietot sešu mēnešu laikā saimnieciskā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nosakot avansa apmēru, aicinām ņemt vērā, ka saskaņā ar ES struktūrfondu un Kohēzijas fonda 2014.-2020.gada plānošanas perioda pieredzi, vidēji apstiprinātā avansu summa sasniedza 33,7 % no finansējuma projektiem.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14.punktā noteikto, izstrādājot sākotnējās ietekmes novērtējumu (anotāciju), ir jāizvērtē arī normatīvā akta ietekme uz tautsaimniecību. Attiecīgi lūdzam papildināt anotāciju ar informāciju par normatīvā akta ietekmi uz tautsaimniecību, norādot pēc iespējas izmērāmus rādītājus, kā arī novērtējot konkrētus aspektus par plānoto ieguldījumu sagaidāmo ietekmi un efektivitāti, t.sk. faktiski sagaidāmos rezultātus pēc investīciju īstenošanas.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"Noteikumu projekts paredz, ka projektā var tikt kombinētas gan tādas darbības un izmaksas, kurām ir piemērojami komercdarbības atbalsta nosacījumi, gan tādas darbības un izmaksas, kurām nav nepieciešams piemērot komercdarbības atbalsta nosacījumus, ievērojot darbību un izmaksu nodalīšanu, tai skaitā, projektā, kuru iesniedz pašvaldība, piesaistot komersantu kā sadarbības partneri, var paredzēt tikai privātā komersanta infrastruktūras (mērķorientēta infrastruktūra) attīstībai nepieciešamās darbības.", savukārt noteikumu projekta 47.3.apakšpunkts paredz komercdarbības atbalsta piešķiršanu sadarbības partneriem saskaņā ar Komisijas regulu Nr.651/2014 56.pantu, kura 7.punkts, savukārt, nosaka, ka atbrīvojumu saskaņā ar šo pantu nepiešķir mērķorientētai infrastruktūrai. Attiecīgi lūdzam precizēt anotācijā sniegto skaidrojumu, nodrošinot tā atbilstību Komisijas regulas Nr.651/2014 56.panta 7.punktam.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 informāciju par ietekmi uz valsts uz pašvaldību budžetiem, ņemot vērā noteikumu projekta 15.punktā noteikto par pasākuma īstenošanai paredzēto finansējumu, proti, pasākuma īstenošanai paredzēts Taisnīgas pārkārtošanās fonda finansējums 49 279 779 euro un nacionālais finansējums 8 696 432 euro, kuru veido pašvaldību finansējums vai privātais finansējums, attiecīgi anotācijas 3.sadaļā norādītais 49 279 779 euro apmērs ir attiecināms tikai uz Taisnīgas pārkārtošanās fonda finansējumu un tas neiekļauj pašvaldības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sadaļas 1. tabulā sniegto normu atbilstības izvērtējumu, nodrošinot, ka atbilstības izvērtējums ir ne vien par Komisijas regulas Nr.651/2014 pantiem, bet arī par katras regulas panta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programmas iznākuma rādītāju – komersanti, kas gūst labumu no attīstītās publiskās infrastruktūras – vismaz 25 uzņēmumi, tai skaitā par Taisnīgas pārkārtošanās fonda finansējumu, kas pieejams līdz 2025.gada 31.decembrim – vismaz 23 uzņēmumi;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terminus, jo tiek lietots gan "uzņēmums", gan "komersants".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pirmās atlases kārtas ietvaros pieejamais finansējums ir 54 168 344 </w:t>
            </w:r>
            <w:r w:rsidR="00000000" w:rsidRPr="00000000" w:rsidDel="00000000">
              <w:rPr>
                <w:i w:val="1"/>
                <w:rtl w:val="0"/>
              </w:rPr>
              <w:t xml:space="preserve">euro</w:t>
            </w:r>
            <w:r w:rsidR="00000000" w:rsidRPr="00000000" w:rsidDel="00000000">
              <w:rPr>
                <w:rtl w:val="0"/>
              </w:rPr>
              <w:t xml:space="preserve">, tai skaitā Taisnīgas pārkārtošanās fonda finansējums – 46 043 092 </w:t>
            </w:r>
            <w:r w:rsidR="00000000" w:rsidRPr="00000000" w:rsidDel="00000000">
              <w:rPr>
                <w:i w:val="1"/>
                <w:rtl w:val="0"/>
              </w:rPr>
              <w:t xml:space="preserve">euro</w:t>
            </w:r>
            <w:r w:rsidR="00000000" w:rsidRPr="00000000" w:rsidDel="00000000">
              <w:rPr>
                <w:rtl w:val="0"/>
              </w:rPr>
              <w:t xml:space="preserve"> un nacionālais finansējums – ne mazāk kā 8 125 252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16.1.apakšpunktā katram reģionam norādītās Taisnīgas pārkārtošanās fonda finansējumu kopsumma ir 46 043 091, kas par 1 euro atšķiras no 16.1.apakšpunktā norādītās. Ierosinām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iesniegumam minimālais kopējo attiecināmo izmaksu apmērs ir 200 000 </w:t>
            </w:r>
            <w:r w:rsidR="00000000" w:rsidRPr="00000000" w:rsidDel="00000000">
              <w:rPr>
                <w:i w:val="1"/>
                <w:rtl w:val="0"/>
              </w:rPr>
              <w:t xml:space="preserve">euro</w:t>
            </w:r>
            <w:r w:rsidR="00000000" w:rsidRPr="00000000" w:rsidDel="00000000">
              <w:rPr>
                <w:rtl w:val="0"/>
              </w:rPr>
              <w:t xml:space="preserve">. Projekta iesniegumam pieejamais maksimālais Taisnīgas pārkārtošanās fonda finansējums ir 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53.panta 2.punkts nosaka, ka "Ja darbības kopējās izmaksas nepārsniedz 200 000  EUR, iemaksas no ERAF, ESF+, TPF, AMIF, IDF un BMVI saņēmējam sniedz vienības izmaksu, fiksētas summas maksājumu vai vienotas likmes finansējuma veidā, izņemot darbības, kurām sniegtais atbalsts ir uzskatāms par valsts atbalstu.", proti, 200 000 EUR ieskaitot.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komersantu saskaņā ar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kas nodrošina projekta iznākuma un rezultāta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23.1. apakšpunktu, nosakot, ka nodrošina projekta iznākuma un rezultāta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iesniedzējs projekta iesniegumā pamato pieprasījumu pēc publiskās infrastruktūras, kuru paredzēts attīstīt projekta ietvaros, vai sadarbību ar komersantu kā sadarbības partneri nostiprina ar sadarbības līgumu (atbilstoši normatīvajiem aktiem par kārtību, kādā Eiropas Savienības fondu vadībā iesaistītās institūcijas nodrošina šo fondu ieviešanu 2021.–2027. gada plānošanas periodā), tajā iekļaujot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tiesību normai ir jābūt skaidrai, lai tās lietotājs un piemērotājs gūtu nepārprotamu priekšstatu par normā ietvertajiem pienākumiem un tiesībām. Aicinām nodalīt prasības, kas jāietver projekta iesniegumā, no prasības, kas ietveramas sadarbības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par kārtību, kādā komersants kā sadarbības partneris atmaksā projekta ietvaros saņemto finansējumu vai tā daļu, ja komersanta kā sadarbības partnera vainas dēļ ir pārkāpti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noteikumos "Kārtība, kādā Eiropas Savienības fondu vadībā iesaistītās institūcijas nodrošina šo fondu ieviešanu 2021.–2027.gada plānošanas periodā" (šobrīd saskaņošanas stadijā) ir ietvertas pamatprasības, kas jāietver sadarbības līgumā. Attiecīgi lūdzam noteikumu projektā ietvert nosacījumus, kas ir specifiski un minētajos noteikumos jau nav atrunāti. Piemēram, lūdzam izvērtēt noteikumu projekta 25.3.apakšpunktu un to svītrot, jo minētā norma dublē minētajos noteikumos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iesniedzējs kopā ar projekta iesniegumu iesniedz aizpildītu sadarbības iestādes tīmekļvietnē pieejamo publisko iepirkumu dokumentācijas atbilstības pārbaudes lapu un iepirkuma norises atbilstības pārbaudes lapu  (ja uz projekta iesnieguma iesniegšanas brīdi ir pieņemts lēmums par iepirkuma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28.punktu paredzot, ka papildu ieniedzamie dokumenti jāiesniedz saskaņā ar sadarbības iestādes iesniegumu atlases nolikumā noteikto, tai skaitā iesniedz minētās pārbaudes lapas.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iesniedzējs iesniedz projekta iesniegumu un papildu iesniedzamos dokumentus saskaņā ar sadarbības iestādes projektu iesniegumu atlases nolikumā noteikto, tai skaitā aizpildītu sadarbības iestādes tīmekļvietnē pieejamo publisko iepirkumu dokumentācijas atbilstības pārbaudes lapu un iepirkuma norises atbilstības pārbaudes lapu  (ja uz projekta iesnieguma iesniegšanas brīdi ir pieņemts lēmums par iepirkuma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tiešās attiecināmās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Vadlīniju Nr.1.2. "Vadlīnijas attiecināmo izmaksu noteikšanai Eiropas Savienības kohēzijas politikas programmas 2021.-2027.gada plānošanas periodā" 10.2.apakšpunktu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MK noteikumos par SAM īstenošanu (t.sk. veicot grozījumus). Līdz ar to vienotai pieejai lūdzam pārskatīt attiecīgos apakšpunktus un precizēt redakcijas (piemēram, 31.6. un 31.9.2.)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atpūtas zonu ierīkošana darbiniekiem un labiekārtojuma elementu uzstādīšana  (videi un personām ar dažādiem funkcionāliem traucējumiem draudzīgs apgaismojums, soliņi un galdi lietošanai ārtelpā, atkritumu tvertnes, velosipēdu novietnes, žogi), vājstrāvu tīklu izbūve vai esošo vājstrāvu tīklu pārbūve, kas nepieciešama ārtelpas atpūtas zonas ierīkošanai un drošības veicināšanai projekta ietvaros attīstītajā ārtelpas atpūtas zonā, tai skaitā video novērošanas kameras, kas izvietotas ārtelpas atpūtas zonā. Netiek atbalstītas mazās arhitektūras formas ar māksliniecisko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norādot arī elektrotīklu izbūvi un elektrotīklu pārbūvi, ņemot vērā, ka paredzēta apgaismojuma izbūve.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31.3.6. nekustamā īpašuma iegādes izmaksas, nepārsniedzot 10 procentus no projekta kopējām attiecināmajām izmaksām, ja nekustamā īpašuma iegāde nepieciešama projekta ietvaros plānotās pievedceļu infrastruktūrai atjaunošanai vai ierīkošanai;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detalizētāk skaidrot, norādot pamatojumu šādu izmaksu nepieciešamībai specifiskā atbalsta mērķa ietvaros. Vienlaikus vēršam uzmanību, ka saskaņā ar Vadlīniju Nr.1.2. "Vadlīnijas attiecināmo izmaksu noteikšanai Eiropas Savienības kohēzijas politikas programmas 2021.-2027.gada plānošanas periodā" 15.4.apakšpunktu projekta iesniedzējs, plānojot nekustamā īpašuma un zemes iegādes izmaksas projekta budžetā, pamato projekta iesniegumā tā iegādes nepieciešamību. Pamatojumam jābalstās arī uz saimnieciskuma principu, proti, ēku jāizvēlas iegādāties vai būvēt atkarībā no tā, kas konkrētajā gadījumā ir saimnieciski izdevīgāk. Lai nekustamā īpašuma un zemes iegādes izmaksas uzskatītu par attiecināmām no Taisnīgas pārkārtošanās fonda, starp pirkumu vai būvniecību un attiecīgā projekta mērķiem ir jāpastāv ciešai saiknei.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33.4.2. īsteno tehniski un ekonomiski efektīvāko risinājumu, kas pamatots ar alternatīvu analīzi;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prasības par alternatīvu analīzes nepieciešamību, ņemot vērā, ka notekūdeņu savākšanas, attīrīšanas un novadīšanas un dzeramā ūdens ieguves, sagatavošanas un piegādes infrastruktūras izmaksas ir attiecināmās, ja tās attiecas </w:t>
            </w:r>
            <w:r w:rsidR="00000000" w:rsidRPr="00000000" w:rsidDel="00000000">
              <w:rPr>
                <w:u w:val="single"/>
                <w:rtl w:val="0"/>
              </w:rPr>
              <w:t xml:space="preserve">tikai uz ūdenssaimniecības sabiedrisko pakalpojumu sniegšanu,</w:t>
            </w:r>
            <w:r w:rsidR="00000000" w:rsidRPr="00000000" w:rsidDel="00000000">
              <w:rPr>
                <w:rtl w:val="0"/>
              </w:rPr>
              <w:t xml:space="preserve"> nepieļaujot citu individuālu risinājumu iespēju.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34.2.1. publiski privāta kapitālsabiedrība, pašvaldības kapitālsabiedrība, kas veic pašvaldības deleģēto pārvaldes uzdevumu izpildi – savā īpašumā vai pārvaldes uzdevumu izpildei lietošanā nodotajā publiskajā īpašumā. Ja plānots piemērot regulas Nr. 651/2014 41. pantā paredzēto atbalstu, ievēro šo noteikumu </w:t>
            </w:r>
            <w:r w:rsidR="00000000" w:rsidRPr="00000000" w:rsidDel="00000000">
              <w:rPr>
                <w:rtl w:val="0"/>
              </w:rPr>
              <w:t xml:space="preserve">49.2. </w:t>
            </w:r>
            <w:r w:rsidR="00000000" w:rsidRPr="00000000" w:rsidDel="00000000">
              <w:rPr>
                <w:rtl w:val="0"/>
              </w:rPr>
              <w:t xml:space="preserve">apakšpunktā</w:t>
            </w:r>
            <w:r w:rsidR="00000000" w:rsidRPr="00000000" w:rsidDel="00000000">
              <w:rPr>
                <w:rtl w:val="0"/>
              </w:rPr>
              <w:t xml:space="preserve"> minētos nosacījumus. Ja plānots piemērot regulas Nr. 651/2014 56. pantā paredzēto atbalstu, ievēro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minētos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34.2.1. apakšpunktā minētās sabiedrības ir privātpersonas. Atbilstoši Valsts pārvaldes iekārtas likumam privātpersona ir fiziskā persona, privāto tiesību juridiskā persona vai šādu personu apvienība.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finansējumu nepiešķir pabeigtām darbībām, izņemot darbības, kas saistītas ar šo noteikumu ​</w:t>
            </w:r>
            <w:r w:rsidR="00000000" w:rsidRPr="00000000" w:rsidDel="00000000">
              <w:rPr>
                <w:rtl w:val="0"/>
              </w:rPr>
              <w:t xml:space="preserve">31.9. </w:t>
            </w:r>
            <w:r w:rsidR="00000000" w:rsidRPr="00000000" w:rsidDel="00000000">
              <w:rPr>
                <w:rtl w:val="0"/>
              </w:rPr>
              <w:t xml:space="preserve">apakšpunktā</w:t>
            </w:r>
            <w:r w:rsidR="00000000" w:rsidRPr="00000000" w:rsidDel="00000000">
              <w:rPr>
                <w:rtl w:val="0"/>
              </w:rPr>
              <w:t xml:space="preserve"> minētajām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projekta 36.1. apakšpunktu ar informāciju, no kura brīža pabeigtām darbībām finansējumu nepiešķir, vienlaikus salāgojot ar noteikumu projekta 37.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Izmaksas, kas saskaņā ar šiem noteikumiem nav iekļaujamas kā attiecināmās izmaksas, ir finansējamas ārpus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Izmaksas, kas saskaņā ar šiem noteikumiem nav iekļaujamas kā attiecināmās izmaksas, finansējuma saņēmējs 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53.8. 56. panta 2. punkta nosacījumi, kas paredz, ka šo pantu nepiemēro tādam atbalstam infrastruktūrai, uz kuru attiecas citas šīs regulas III nodaļas iedaļas, izņemot 1. iedaļu "Reģionālais atbalsts". Šo pantu nepiemēro arī lidostu infrastruktūrai un ostu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53.8. apakšpunkta 2. teikumā ietvertais ierobežojums, kas izriet no Komisijas Regulas Nr. 651/2014 56. panta 2. punkta, ir daļēji pārklājas </w:t>
            </w:r>
            <w:r w:rsidR="00000000" w:rsidRPr="00000000" w:rsidDel="00000000">
              <w:rPr>
                <w:rtl w:val="0"/>
              </w:rPr>
              <w:t xml:space="preserve">ar noteikumu projekta 24.punktā noteikto. Attiecīgi lūdzam pārskatīt noteikumu projekta 53.8. apakšpunktu un 24. punktu, novēršot nosacījumu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tiek pārkāptas šajos noteikumos noteiktās komercdarbības atbalsta piešķiršanas prasības vispārējas tautsaimnieciskas nozīmes pakalpojuma sniegšanai, atbalsta saņēmējam ir pienākums atmaksāt sadarbības iestādei visu projekta ietvaros saņemto nelikumīgo komercdarbības atbalstu kopā ar procentiem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projekta 65.punktu, ņemot vērā, ka šis punkts pārklājas ar noteikumu projekta 64.punkta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Finansējuma saņēmējs projektu īsteno saskaņā ar noslēgtajā civiltiesiskajā līgumā vai vienošanās par projekta īstenošanu noteikto termiņu, nepārsniedzot šādus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"civiltiesiskajā", ņemot vērā, ka iepriekšējos punktos attiecīgais termins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pirmās atlases kārtas ietvaros – ne ilgāk kā līdz 2026.gada 31.jūlijam;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finansējuma saņēmējs projekta ietvaros uzkrāj datus par faktiski sasniegtiem šo noteikumu 10. punktā minētajiem rādītājiem, nevis par projekta ietekmi uz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 uzkrāj datus par projekta ietekmi uz horizontālo principu rādītājiem (ja attiecināms) un ievēro principus: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67.2. un 67.3.apakšpunktā noteiktās prasības horizontālo principu ievērošanai un datu uzkrāšanai atbilstoši ierosinātajiem priekšlikumiem Finanšu ministrijas 2023.gada 6.aprīļa atzinumā par Vides aizsardzības un reģionālās attīstības ministrijas izstrādāto Ministru kabineta noteikumu projektu 5.1.1.3.pasākuma “Publiskās ārtelpas attīstība” īstenošanai, tādejādi nodrošinot vienotu pieeju. Lūdzam atbilstošus precizējumus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67.2.apakšpunktu ar horizontālā principa "Vienlīdzība, iekļaušana, nediskriminācija un pamattiesību ievērošana" rādītāju, ņemot vērā, ka 6.1.1.3 pasākumam ir netieša ietekme uz šo horizontālo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Finansējuma saņēmējs nodrošina, lai pasākuma ietvaros plānotais atbalsts nepārklātos ar citiem valsts un ārvalstu finanšu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normu, jo finansējuma saņēmējs nodrošina, ka projekta ietvaros atbalsts nepārklājas ar citiem valsts un ārvalstu finanšu atbalsta instrumentiem.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Īstenojot projektu, finansējuma saņēmējs nodrošina informācijas un publicitātes pasākumus saskaņā ar Eiropas Parlamenta un Padomes 2021. gada 24. jūnija Regulu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normatīvo aktu, kas nosaka kārtību, kādā Eiropas Savienības fondu vadībā iesaistītās institūcijas nodrošina šo fondu ieviešanu 2021.–2027.gada plānošanas periodā un  Eiropas Savienības fondu 2021.–2027. gada plānošanas perioda un Atveseļošanas fonda komunikācijas un dizaina vadlīnijās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70.punktu, norādot precīzus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pantus - 47. un 50.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īstenošanai nepieciešamo būvdarbu un pakalpojumu iepirkumus veic saskaņā ar normatīvajiem aktiem publisko iepirkumu jomā, īstenojot atklātu, pārredzamu, nediskriminējošu un konkurenci nodrošinošu iepirkuma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projekta 71. punktu ar vārdiem "Finansējuma saņēmējs un sadarbības partneri" pirms vārdiem "Projekta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ieguldījumi plānoti saskaņā ar Jauno Eiropas Bauhaus iniciatīvu, ņemot vērā, ka noteikumu projekts paredz ieguldījumus infrastruktūrā.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inovatīvu iepirkumu nosacījumu piemērošanu MK noteikumu projektā vai skaidrot, kāpēc tas netiks piemērots.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anotācijas sadaļas "Cita informācija"  ietverto informāciju papildināt MK protokollēmumu, papildus norādot,  kas pieprasīs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12.04.2023.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12.04.2023.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