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pateicību par šo aktivitāti, tā kalpoja kā labs motivators skolu tīkla sakārtošanā, bija ļoti efektīvs instruments. Vienlaikus norādām, ka gatavošanās procesā bija vairāki faktori, kas kavēja pašvaldības spert attiecīgus soļus, lai kvalificētos priekšatlasei, galvenokārt tā bija neskaidrība par jauno skolu finansēšanas un pedagogu atalgojuma aprēķināšanas sistēmu – modeli “Programma skolā” ieviešanas likteni un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ar valdības lēmumiem ir nostiprināts, ka jaunajam finansēšanas modelim būs būt, ir iezīmēti konkrēti termiņi, realizācijas scenārijs u.tml., mēs lūdzam turpināt šo aktivitāti, paredzot tai papildus līdzekļus, lai arī nākotnē šādā veidā stimulētu skolu tīkla sakārtošanu. Kā arī norādām uz atsevišķiem dibinātājiem, priekš kuriem finansējums būtu jārod nekavējoties - tās ir četras anotācijas 1.3. punktā "Pašreizējā situācija, problēmas un risinājumi" 4. apakšpunktā minētās pašvaldības, kas bija iesniegušas pieteikumu projektu iesniedzēju priekšatlasē, bet nav iekļautas Ministru kabineta rīkojumā.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23.30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23.30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Atzinumi_25-TA-764.docx</dc:title>
</cp:coreProperties>
</file>

<file path=docProps/custom.xml><?xml version="1.0" encoding="utf-8"?>
<Properties xmlns="http://schemas.openxmlformats.org/officeDocument/2006/custom-properties" xmlns:vt="http://schemas.openxmlformats.org/officeDocument/2006/docPropsVTypes"/>
</file>