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notikušas izmaiņas vairāku programmu finansējuma apmēros,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doto brīdi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norādītā informācija par 1.2.1.2.pasākumu nesaskan ar ES kohēzijas politikas programmas 2021. - 2027.gadam (turpmāk - Programma) grozījumiem Nr.3 un MK noteikumu projektu, t.i., nav norādīta pārdale uz 1.5.1.SAM, kā arī 6.2. apakšpunktā minētā politikas programmas 1.5. prioritāte “Investīciju fonds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nodrošinot atbilstību starp Ministru kabineta noteikumu grozījumu projekta saturu un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mainīts pasākumiem plānotais finansējums, kā arī katra pasākuma īstenošanas MK noteikumu nosacījumi paredz, ka pasākumiem plānotais un pieejamais finansējums ir norādīts šajos noteikumos, lūgums anotācijā norādīt aktuālos intervences kodus un finansējuma sadalījumu starp tiem katram pasākumam, ņemot vērā Programmas grozījumos Nr. 3 ietvertās un šajos MK noteikumos atspoguļotās 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6.punkts paredz samazināt līdzdalības fondu ietvaros plānoto finansējumu par 35 369 605 euro, attiecīgi lūdzam aizpildīt anotācijas 3.sadaļu, atspoguļojot finansējuma samazinājumu un sniedzot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ierosinātos grozījumus elastības finansējuma izmantošanai, lūdzam papildināt Ministru kabineta protokollēmumu ar punktu, kas paredz tiesības sabiedrībai “Altum” ātrāk uzsākt elastības finansējuma izmantošanu finanšu instrumentu pasākumiem un vienlaikus paredzēt Ekonomikas ministrijas un Klimata un enerģētikas ministrijas rīcību gadījumā, ja Eiropas Komisija neatbalstīs elastības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vēlas veikt MK noteikumu projektā norādītās pārdales pirms EK lēmuma par ES kohēzijas politikas programmas 2021. – 2027.gadam grozījumiem Nr.3, tad lūgums protokollēmumā pievienot punktu, kas nosaka, ka EM uzņemas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Programmā, kas skar Ekonomikas ministrijas ierosinātās pārdales, Ekonomikas ministrijai sagatavot un iesniegt izskatīšanai Ministru kabinetā informatīvo ziņojumu par priekšlikumiem turpmākai rīcībai neattiecināmības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no EK š.g. 1.maijā saņemtos konceptuālos iebildumus par EM piedāvāto STEP SAM (1.5.1), lūdzam EM  papildināt protokollēmumu ar jaunu punktu, kas nosaka, ka ieguldījumi uzņēmējdarbībā, kas atbalsta STEP mērķu sasniegšanu (1.5.1.SAM) var tikt uzsākti tikai pēc EK konceptuāla saskaņojuma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2.2.2. specifiskā atbalsta mērķa "Pārejas uz aprites ekonomiku veicināšana" 2.2.2.4. pasākumā "Aprites ekonomikas principu ieviešana" (turpmāk – 2.2.2.4.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2.8.apakšpunktu, ņemot vērā, ka atbilstoši aktuālākajām Eiropas Savienības kohēzijas politikas programmas 2021.-2027. gadam pārdalēm 2.2.2.4.pasākums "Pārejas uz aprites ekonomiku veicināšana" netiks īstenots. Vienlaikus aicinām svītrot noteikumu 6.4.apakšpunktu, 17.</w:t>
            </w:r>
            <w:r w:rsidR="00000000" w:rsidRPr="00000000" w:rsidDel="00000000">
              <w:rPr>
                <w:vertAlign w:val="superscript"/>
                <w:rtl w:val="0"/>
              </w:rPr>
              <w:t xml:space="preserve">3</w:t>
            </w:r>
            <w:r w:rsidR="00000000" w:rsidRPr="00000000" w:rsidDel="00000000">
              <w:rPr>
                <w:rtl w:val="0"/>
              </w:rPr>
              <w:t xml:space="preserve"> punktu un veikt attiecīgus grozījumus noteikumu pielikumā, kā arī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572 567 801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6.punktu ar noteikumu pielikumu, piemēram, 6.5. apakšpunktā tiek norādīts elastības finansējums, kas nav iekļauts noteikumu pielikumā par plānoto finansējuma sadalījumu. Aicinām arī anotācijā skaidri norādīt, vai pilnībā notiek atteikšanās no elastības finansējuma vai arī kādā no SAM pasākumiem tas tiek saglabāts.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Līdzdalības fondu iznākuma rādītājs – ar finanšu instrumentiem atbalstītie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TAP ievietotajā MK noteikumu grozījumu projektā norādītie rādītāji nesakrīt ar TAP ievietotajā MK noteikumu konsolidētajā versijā norādītajiem,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saskaņot visas rādītāju vērtības ar Programmas grozījumos Nr.3 un SAM rādītāju pasēs iekļautajām vai iesniegt Finanšu ministrijā precizētas rādītāju pases.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24 943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2.1.1.2. pasākuma "AER izmantošana un energoefektivitātes paaugstināšana rūpniecībā un komersantos'' (turpmāk - 2.1.1.2.pasākums) rezultāta rādītāja "Primārais enerģijas ikgadējais patēriņš (tai skaitā mājokļi, sabiedriskās ēkas, uzņēmumi, citi)'' vērtību. Vēršam uzmanību, ka atbilstoši Ekonomikas ministrijas sniegtajam sadalījumam 2.1.1.2.pasākuma sasniedzamā vērtība ir 24 944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2.1.1.3. pasākumā – 23 990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13.3.apakšpunktā norādīto 2.1.1.3.pasākuma "AER izmantošana un energoefektivitātes paaugstināšana lokālajā un individuālajā siltumapgādē un aukstumapgādē" rādītāja vērtību atbilstoši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Atbildīgās iestādes funkcijas pilda: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atbildīgo iestādi arī par 1.5.1. specifiskā atbalsta mērķi "Ieguldījumi uzņēmējdarbībā, kas atbalsta STEP mērķu sasniegšanu", kas tika iekļauts noteikumos ar jauna 2.9 apakšpunkta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piedāvāto MK noteikumu grozījumu ietekmes izvērtējumu uz Altum līgumu (Finansēšanas nolīgums par līdzdalības fonda īstenošanu), kā arī uzsākto finanšu instrumentu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apakšsadaļā "Papildus informācija" norādīt arī to, ka aizdevumu pārlikšanas uz aizņemto finansējumu gadījumā Altum nodrošinās dubultā finansējuma riska novēršanas pasākumus, piemēram, lai netiktu dubultā atbalstīta kapitāla atlaides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anotācijā skaidrot, kas paredzēts ar MK noteikumu 8.punktā veikto papildinājumu par privāto finansējumu un kāds ir tā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sadaļā precizēt norādi, ka noteikumos tiek precizēta sabiedrības “Altum”  (turpmāk - ALTUM) pieņemto lēmumu juridiskā forma, jo tas, ka ALTUM lēmumi tiek izskatīti civiltiesiskā kārtībā ir  jau ieviests prakse, vienīgais minētais netika nostiprināts noteikumos, kas būtu jānorāda skaidri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minētajā sadaļā teikumā "Papildus skaidrojums par 21.1.6. apakšpunktā ietverto papildinājumu: korektīvo pasākumu veikšana ir atbilstoši iestādei, kas konstatē pārkāpumus - sabiedrība "Altum" vērtē komunikācijas prasības pret gala labuma guvēju, savukārt Vadošā iestāde - pret sabiedrību "Altum"" aizstāt vārdus "Vadošā iestāde" ar vārdiem Centrālā finanšu un līgumu aģentūra kā ES fondu sadarbības iestāde, ņemot vērā  Eiropas Savienības fondu 2021.—2027. gada plānošanas perioda vadības likumā noteiktās sadarbības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anotācijas pielikumu par plānoto finansējuma sadalījumu finanšu instrumentos, jo šāds pielikums jau pievienots MK noteikumu projektam. Vienlaikus vēršam uzmanību, ka informācija šajā pielikumā nesakrīt ar MK noteikumu projekta pielikuma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finanšu instrumentu kopīgie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noteikumos atspoguļot rādītājiem 2024. gada sasniedzamās vērtības, ņemot vērā, ka 2024. gads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2.1.1. specifiskā atbalsta mērķa "Energoefektivitātes veicināšana un siltumnīcefekta gāzu emisiju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instrumenti plānoti tikai 2.1.1.1. pasākuma 2. kārtas ietvaros, aicinām precizēt 2.4.1.apakšpuntu, kā arī izvērtēt, vai no noteikumu projekta, t.sk. pielikuma, nav svītrojama 2.1.1.1. pasākuma 1. kārta un tai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1.2.2.2. pasākumā – 60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plānotajiem grozījumiem lūgums visos MK noteikumu punktos svītrot atsauces uz 1.2.2.2. un 1.2.3.7.pasākumiem (arī MK noteikumu 2.3.5.apakšpunktā).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24 943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rezultāta rādītāja palielināšanas pamatotību, ņemot vērā, ka 2.1.1.2 pasākumam paredzētais finansējums tiek ļoti būtiski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Finansēšanas nolīgumi tiek slēgti par līdzdalības fondiem plānoto kopējo finansējumu. Ja elastības finansējums vai tā daļa netiks piešķirta pēc vidusposma izvērtējuma un Eiropas Komisijas lēmuma par elastības finansējuma galīgo piešķīrumu, tad par attiecīgo finansējuma apmēru tiks samazināts finansēšanas nolīgumā paredzētais līdzdalības fondam plānotais finansējums, kā arī tiks attiecīgi samazināti līdzdalības fondiem noteiktie iznākuma un rezultāta rādītāji. Līdz vidusposma izvērtējumam un Eiropas Komisijas lēmumam par elastības finansējuma galīgo piešķīrumu sabiedrība "Altum" var izmantot tikai līdzdalības fondiem šo noteikumu </w:t>
            </w:r>
            <w:r w:rsidR="00000000" w:rsidRPr="00000000" w:rsidDel="00000000">
              <w:rPr>
                <w:rtl w:val="0"/>
              </w:rPr>
              <w:t xml:space="preserve">7.["Kļūda! Atsauces avots nav atrasts."] </w:t>
            </w:r>
            <w:r w:rsidR="00000000" w:rsidRPr="00000000" w:rsidDel="00000000">
              <w:rPr>
                <w:rtl w:val="0"/>
              </w:rPr>
              <w:t xml:space="preserve"> punktā noteikto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saglabāt tādu punkta redakciju, kas nosaka par kādu finansējumu tiek slēgti nolīgumi vai arī atrunāt to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dizaina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personai noteiktajiem pienākumiem un ņemot vērā Eiropas Savienības fondus regulējošajos normatīvajos aktos un praksē lietoto terminoloģiju, lūdzam precizēt noteikumu projekta 26.1.6. apakšpunktu aizstājot vārdus "informācijas un publicitātes " ar vārdiem "komunikācijas un vizuālās identitātes". Lūdzam izteikt minēto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komunikācijas un vizuālās identitātes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vizuālās identitātes pasākumu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Finansējuma saņēmējs Brīvos līdzekļus iegulda saskaņā ar Finansējuma saņēmēja Brīvo līdzekļu pārvaldīšanas politiku, pareizas Finanšu pārvaldības principiem, nodrošinot izsekojamu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ir papildināti ar 34.</w:t>
            </w:r>
            <w:r w:rsidR="00000000" w:rsidRPr="00000000" w:rsidDel="00000000">
              <w:rPr>
                <w:vertAlign w:val="superscript"/>
                <w:rtl w:val="0"/>
              </w:rPr>
              <w:t xml:space="preserve">1 </w:t>
            </w:r>
            <w:r w:rsidR="00000000" w:rsidRPr="00000000" w:rsidDel="00000000">
              <w:rPr>
                <w:rtl w:val="0"/>
              </w:rPr>
              <w:t xml:space="preserve">punktu un tajā lietots termins "Brīvie līdzekļi", taču nedz noteikumos, nedz anotācijā tas nav skaidrots, tad  lūdzam anotācijas ietvaros skaidrot lietotā termina izpratni un ietvert regulējumu (ja tāds ir)  no kā minētais termins radies.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pielikumu un precizēt to, svītrojot kolonnu "Valsts budžeta elastības finansējums", ņemot vērā ka netiek norādīta Eiropas Savienības kohēzijas politikas fondu elastības finansējuma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16.05.2025.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16.05.2025.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