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"Pulmonālās hipertensijas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Pulmonālās hipertensijas biedrība atbalsta šos </w:t>
            </w:r>
            <w:r w:rsidR="00000000" w:rsidRPr="00000000" w:rsidDel="00000000">
              <w:rPr>
                <w:rtl w:val="0"/>
              </w:rPr>
              <w:t xml:space="preserve">LR VM piedāvātos priekšlikumus zāļu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visām recepšu zālēm ir vienots uzcenojumu veidošanas mehānisms, tām piemērojot kompensējamo zāļu uzcenojumu/cenu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visām recepšu zālēm tiek izstrādāts jauns uzcenojumu veidošanās modelis, samazinot zāļu gala cenu pacientiem, ieviešot fiksētu uzcenojumu veidošanās principu un mazinot aptieku atkarību no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2024.gada 1.jūlijam Veselības ministrijai sadarbībā ar Finanšu ministriju izvērtēt iespēju Valsts nodokļu politikas pamatnostādņu 2024.-2027.gadam izstrādes procesā pārskatīt pievienotās vērtības nodokļa likmi recepšu zālēm, nosakot samazinātu pievienotās vērtības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kompensējamām zālēm 50% kompensācijas apmērs tiek palielināts uz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kompensējamo zāļu izrakstīšanas (t.sk. individuālās kompensēšanas) nosacījumu pārskatīšanu, paplašinot speciālistu un ģimenes ārstu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Izsakām viedokli par zāļu izrakstīšanas kārtību</w:t>
            </w:r>
            <w:r w:rsidR="00000000" w:rsidRPr="00000000" w:rsidDel="00000000">
              <w:rPr>
                <w:rtl w:val="0"/>
              </w:rPr>
              <w:t xml:space="preserve">, proti, punktā 1.4. izteikts priekšlikums par vispārīgā nosaukuma lietošanu receptē. Taču patlaban normatīvie akti jau paredz šādu zāļu izrakstīšanas kārtību. Vēršam uzmanību, ka zāļu blakņu dēļ, arī zāļu blakusiedarbības dēļ hroniskiem pacientiem nereti zāļu izvēle un savietojamība ir sarežģīta. Lai sasniegtu kvalitatīvu ārstēšanas rezultātu, ārsti meklē vispiemērotāko medikamentu un rod risinājumus, kas der katram pacientam individuāli. Šādos gadījumos konkrēta zāļu nosaukuma ietveršana receptē ir nozīmīga ārstēšanas procesa sastāvdaļa. </w:t>
            </w:r>
            <w:r w:rsidR="00000000" w:rsidRPr="00000000" w:rsidDel="00000000">
              <w:rPr>
                <w:b w:val="1"/>
                <w:rtl w:val="0"/>
              </w:rPr>
              <w:t xml:space="preserve">Tāpēc atbalstām to, ka ārsts nevar būt strikti ierobežots ārstēšanas izvēlēs un pacientiem būtu iespēja lietot sev vispiemērotākās zāles. Šādā veidā arī tiek īstenota zāļu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b w:val="1"/>
                <w:rtl w:val="0"/>
              </w:rPr>
              <w:t xml:space="preserve">nepieciešams skaidrot un precizēt priekšlikumu 5.punktu</w:t>
            </w:r>
            <w:r w:rsidR="00000000" w:rsidRPr="00000000" w:rsidDel="00000000">
              <w:rPr>
                <w:rtl w:val="0"/>
              </w:rPr>
              <w:t xml:space="preserve">, jo izteiktajā redakcijā nav skaidrs, vai maksimālā līdzmaksājuma apmērs attiecas uz visām recepšu zālēm, vai uz zālēm, kas ir iekļautas kompensējamo zāļu sarakstā. Sk. 5. Līdz 2025.gada 1.janvārim Veselības ministrijai koordinēt [izpildīs Nacionālais veselības dienests] priekšlikumu izstrādi par iespēju noteikt maksimālo pieļaujamo kopējo pacienta veikto līdzmaksājumu apmēru par recepšu zālēm vienā kalendārā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Līdzmaksājuma griestu ieviešanas gadījumā jāparedz skaidra </w:t>
            </w:r>
            <w:r w:rsidR="00000000" w:rsidRPr="00000000" w:rsidDel="00000000">
              <w:rPr>
                <w:rtl w:val="0"/>
              </w:rPr>
              <w:t xml:space="preserve">un visām iesaistītajām pusēm </w:t>
            </w:r>
            <w:r w:rsidR="00000000" w:rsidRPr="00000000" w:rsidDel="00000000">
              <w:rPr>
                <w:b w:val="1"/>
                <w:rtl w:val="0"/>
              </w:rPr>
              <w:t xml:space="preserve">ērta uzskaites un norēķinu sistēma</w:t>
            </w:r>
            <w:r w:rsidR="00000000" w:rsidRPr="00000000" w:rsidDel="00000000">
              <w:rPr>
                <w:rtl w:val="0"/>
              </w:rPr>
              <w:t xml:space="preserve"> tā, lai tas nebūtu apgrūtinoši ne farmaceitiem, ne NVD, ne arī gala patērētājiem -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Plūme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