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pamatojoties uz Ministru kabineta 2021. gada 7. septembra noteikumu Nr. 617 "Tiesību akta projekta sākotnējās ietekmes izvērtēšanas kārtība" 9.19. apakšpunktu,aizpildīt noteikumu projekta anotācijas 5. sadaļu, sniedzot skaidrojumu par Eiropas Parlamenta un Padomes 2024. gada 23. septembra Regulas (ES, Euratom) 2024/2509 par finanšu noteikumiem, ko piemēro Savienības vispārējam budžetam (turpmāk - regula Nr. 2024/2509), prasību ieviešanu ar noteikumu projektu, ja minētās regulas prasības ar noteikumu projektu tiek ieviestas.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pēc pirmās kārtas ierobežotās atlases, otrās atlases kārtas atklātā konkursa pirmā un otrā uzsaukuma ir palicis pāri finansējums, atbildīgā iestāde lemj par atlikušā finansējuma turpmāku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 punktu, jo attiecīgajai normai nav juridiskas slodzes. Nepieciešamības gadījumā lūdzam Ministru kabineta sēdes protokollēmumu papildināt ar uzdevumu nozares ministrijai informēt Ministru kabinetu par rīcību gadījumā, ja pirmās kārtas ierobežotās atlases, otrās atlases kārtas atklātā konkursa pirmā un otrā uzsaukuma ietvaros finansējums netiek pilnībā izmantots.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Projekta iesnieguma iesniedzēju neizslēdz no dalības projektu iesniegumu atlasē un  gala labuma guvēja atbalsta pieteikumu nenoraida, ja no dienas, kad kļuvis neapstrīdams un nepārsūdzams: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vienveidīgu terminoloģiju noteikumu projektā attiecībā uz to, kāds dokuments gala labuma guvējam jāiesniedz atbalsta saņemšanai - projekta iesniegums vai atbalsta pieteikums.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r w:rsidR="00000000" w:rsidRPr="00000000" w:rsidDel="00000000">
              <w:rPr>
                <w:vertAlign w:val="superscript"/>
                <w:rtl w:val="0"/>
              </w:rPr>
              <w:t xml:space="preserve">1</w:t>
            </w:r>
            <w:r w:rsidR="00000000" w:rsidRPr="00000000" w:rsidDel="00000000">
              <w:rPr>
                <w:rtl w:val="0"/>
              </w:rPr>
              <w:t xml:space="preserve">1. finansējuma saņēmējam viena vienota uzņēmumu līmenī visās atlases kārtās projekta vadības un informatīvo pasākumu un konferences organizēšanas izmaksu segšanai – 100 %, nepārsniedzot šo noteikumu 53. un 56. punktā minēto ierobežojumu;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Ministru kabineta 2023. gada 12. septembra noteikumu Nr. 529 "Eiropas Savienības Atveseļošanas un noturības mehānisma plāna 2. komponentes "Digitālā transformācija" 2.3. reformu un investīciju virziena "Digitālās prasmes" 2.3.1.2.i. investīcijas "Uzņēmumu digitālo prasmju attīstība" īstenošanas noteikumi" (turpmāk - noteikumi Nr. 529) 87.</w:t>
            </w:r>
            <w:r w:rsidR="00000000" w:rsidRPr="00000000" w:rsidDel="00000000">
              <w:rPr>
                <w:vertAlign w:val="superscript"/>
                <w:rtl w:val="0"/>
              </w:rPr>
              <w:t xml:space="preserve">1</w:t>
            </w:r>
            <w:r w:rsidR="00000000" w:rsidRPr="00000000" w:rsidDel="00000000">
              <w:rPr>
                <w:rtl w:val="0"/>
              </w:rPr>
              <w:t xml:space="preserve">1. un 87.</w:t>
            </w:r>
            <w:r w:rsidR="00000000" w:rsidRPr="00000000" w:rsidDel="00000000">
              <w:rPr>
                <w:vertAlign w:val="superscript"/>
                <w:rtl w:val="0"/>
              </w:rPr>
              <w:t xml:space="preserve">1</w:t>
            </w:r>
            <w:r w:rsidR="00000000" w:rsidRPr="00000000" w:rsidDel="00000000">
              <w:rPr>
                <w:rtl w:val="0"/>
              </w:rPr>
              <w:t xml:space="preserve">2. apakšpunktu, jo pirmšķietami minētajiem apakšpunktiem nav juridiskas slodzes (nosacījums par 100 % izriet no 87.</w:t>
            </w:r>
            <w:r w:rsidR="00000000" w:rsidRPr="00000000" w:rsidDel="00000000">
              <w:rPr>
                <w:vertAlign w:val="superscript"/>
                <w:rtl w:val="0"/>
              </w:rPr>
              <w:t xml:space="preserve">1</w:t>
            </w:r>
            <w:r w:rsidR="00000000" w:rsidRPr="00000000" w:rsidDel="00000000">
              <w:rPr>
                <w:rtl w:val="0"/>
              </w:rPr>
              <w:t xml:space="preserve"> punkta ievaddaļas).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Nr. 529 1. pielikumu ar noteikumu projekta 1. punktā minēto attiecībā uz pieejamo finansējuma apmēru, kā arī 7. punktā minēto attiecībā uz izslēgšanas noteikumu piemērošanu. Kā arī lūdzam izvērtēt un nepieciešamības gadījumā precizēt izslēgšanas kritēriju Nr. 1.3., kas tostarp paredz, ka projekta iesniedzējs ir iesniedzis vairāk nekā vienu projekta iesniegumu, ievērojot, ka saskaņā ar noteikumu Nr. 529 23. punkta otro teikumu otrās atlases kārtas uzsaukumu ietvaros projekta iesniedzējs drīkst iesniegt vairākus projekta iesniegumus.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 Pieņemt iesniegto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skaitli "1", novēršot tehnisku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komersantu skaits, kam nodrošināta digitālo pamatprasmju apguve līdz 2024. gada 30. jūnijam, – 628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2. un 4. punktu attiecībā uz komersantu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1. tiesas spriedums, prokurora priekšraksts par sodu vai citas institūcijas pieņemtais lēmums saistībā ar šo noteikumu </w:t>
            </w:r>
            <w:r w:rsidR="00000000" w:rsidRPr="00000000" w:rsidDel="00000000">
              <w:rPr>
                <w:rtl w:val="0"/>
              </w:rPr>
              <w:t xml:space="preserve">25.1.</w:t>
            </w:r>
            <w:r w:rsidR="00000000" w:rsidRPr="00000000" w:rsidDel="00000000">
              <w:rPr>
                <w:rtl w:val="0"/>
              </w:rPr>
              <w:t xml:space="preserve"> vai </w:t>
            </w:r>
            <w:r w:rsidR="00000000" w:rsidRPr="00000000" w:rsidDel="00000000">
              <w:rPr>
                <w:rtl w:val="0"/>
              </w:rPr>
              <w:t xml:space="preserve">25.2. </w:t>
            </w:r>
            <w:r w:rsidR="00000000" w:rsidRPr="00000000" w:rsidDel="00000000">
              <w:rPr>
                <w:rtl w:val="0"/>
              </w:rPr>
              <w:t xml:space="preserve">apakšpunktā</w:t>
            </w:r>
            <w:r w:rsidR="00000000" w:rsidRPr="00000000" w:rsidDel="00000000">
              <w:rPr>
                <w:rtl w:val="0"/>
              </w:rPr>
              <w:t xml:space="preserve"> minētajiem pārkāpumiem, līdz atbalsta pieteikuma iesniegšanas dienai ir pagājuši trīs gadi;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skaitli "25.2." aizstāt ar "25.2.1.", salāgojot šo noteikumu 25.</w:t>
            </w:r>
            <w:r w:rsidR="00000000" w:rsidRPr="00000000" w:rsidDel="00000000">
              <w:rPr>
                <w:vertAlign w:val="superscript"/>
                <w:rtl w:val="0"/>
              </w:rPr>
              <w:t xml:space="preserve">1</w:t>
            </w:r>
            <w:r w:rsidR="00000000" w:rsidRPr="00000000" w:rsidDel="00000000">
              <w:rPr>
                <w:rtl w:val="0"/>
              </w:rPr>
              <w:t xml:space="preserve">1. un 25.</w:t>
            </w:r>
            <w:r w:rsidR="00000000" w:rsidRPr="00000000" w:rsidDel="00000000">
              <w:rPr>
                <w:vertAlign w:val="superscript"/>
                <w:rtl w:val="0"/>
              </w:rPr>
              <w:t xml:space="preserve">2</w:t>
            </w:r>
            <w:r w:rsidR="00000000" w:rsidRPr="00000000" w:rsidDel="00000000">
              <w:rPr>
                <w:rtl w:val="0"/>
              </w:rPr>
              <w:t xml:space="preserve">1. apakšpunktā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66.16. nodrošināt, ka visas personas, kas iesaistītas lēmuma pieņemšanas procesā par komercdarbības atbalsta piešķiršanu gala labuma guvējam, paraksta šo noteikumu </w:t>
            </w:r>
            <w:r w:rsidR="00000000" w:rsidRPr="00000000" w:rsidDel="00000000">
              <w:rPr>
                <w:rtl w:val="0"/>
              </w:rPr>
              <w:t xml:space="preserve">2.</w:t>
            </w:r>
            <w:r w:rsidR="00000000" w:rsidRPr="00000000" w:rsidDel="00000000">
              <w:rPr>
                <w:rtl w:val="0"/>
              </w:rPr>
              <w:t xml:space="preserve"> pielikumā</w:t>
            </w:r>
            <w:r w:rsidR="00000000" w:rsidRPr="00000000" w:rsidDel="00000000">
              <w:rPr>
                <w:rtl w:val="0"/>
              </w:rPr>
              <w:t xml:space="preserve"> minēto objektivitātes, konfidencialitātes un interešu konflikta neesības apliecinājumu. Gala labuma guvējs apliecinājumu paraksta pirms iesnieguma iesniegšanas finansējuma saņēmējam. Apliecinājumu finansējuma saņēmējs glabā atbilstoši Komisijas regulas Nr. </w:t>
            </w:r>
            <w:r w:rsidR="00000000" w:rsidRPr="00000000" w:rsidDel="00000000">
              <w:rPr>
                <w:rtl w:val="0"/>
              </w:rPr>
              <w:t xml:space="preserve">20</w:t>
            </w:r>
            <w:r w:rsidR="00000000" w:rsidRPr="00000000" w:rsidDel="00000000">
              <w:rPr>
                <w:rtl w:val="0"/>
              </w:rPr>
              <w:t xml:space="preserve">24/2509 132.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atsauci uz regulas Nr. 2024/2509 132. pantu, ņemot vērā, ka saņēmēja pienākums glabāt dokumentus un uzskaites ietverts minētās regulas 133.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r w:rsidR="00000000" w:rsidRPr="00000000" w:rsidDel="00000000">
              <w:rPr>
                <w:vertAlign w:val="superscript"/>
                <w:rtl w:val="0"/>
              </w:rPr>
              <w:t xml:space="preserve">1</w:t>
            </w:r>
            <w:r w:rsidR="00000000" w:rsidRPr="00000000" w:rsidDel="00000000">
              <w:rPr>
                <w:rtl w:val="0"/>
              </w:rPr>
              <w:t xml:space="preserve"> Ja finansējuma saņēmējs de minimis atbalsta uzskaites sistēmā redz visu nepieciešamo informāciju par gala labuma guvēju, lai piešķirtu atbalstu, gala labuma guvējs de minimis atbalsta veidlapu finansējuma saņēmējam var neiesniegt.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vārdu "redz" aizstāt ar konkrētu juridisku priekšnoteikumu, piemēram, norādi uz to, ka sistēmā attiecīgā informācija finansējuma saņēmējam ir pieejama. Kā arī lūdzam noteikumu projekta anotācijā skaidrot gadījumus, kad informācija sistēmā varētu būt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Ja finansējuma saņēmējs vai gala labuma guvējs pretendē uz Komisijas regulas Nr. </w:t>
            </w:r>
            <w:r w:rsidR="00000000" w:rsidRPr="00000000" w:rsidDel="00000000">
              <w:rPr>
                <w:rtl w:val="0"/>
              </w:rPr>
              <w:t xml:space="preserve">2023/2831</w:t>
            </w:r>
            <w:r w:rsidR="00000000" w:rsidRPr="00000000" w:rsidDel="00000000">
              <w:rPr>
                <w:rtl w:val="0"/>
              </w:rPr>
              <w:t xml:space="preserve"> atbalsta saņemšanu un vienlaikus darbojas vienā vai vairākās Komisijas regulas Nr. </w:t>
            </w:r>
            <w:r w:rsidR="00000000" w:rsidRPr="00000000" w:rsidDel="00000000">
              <w:rPr>
                <w:rtl w:val="0"/>
              </w:rPr>
              <w:t xml:space="preserve">2023/2831</w:t>
            </w:r>
            <w:r w:rsidR="00000000" w:rsidRPr="00000000" w:rsidDel="00000000">
              <w:rPr>
                <w:rtl w:val="0"/>
              </w:rPr>
              <w:t xml:space="preserve"> 1. panta 1. punkta "a", "b", "c" un "d" apakšpunktā minētajās nozarēs, atbalstu drīkst piešķirt, ja tas nodrošina šo nozaru darbību vai uzskaites nodalīšanu, lai saskaņā ar Komisijas regulas Nr. </w:t>
            </w:r>
            <w:r w:rsidR="00000000" w:rsidRPr="00000000" w:rsidDel="00000000">
              <w:rPr>
                <w:rtl w:val="0"/>
              </w:rPr>
              <w:t xml:space="preserve">2023/2831</w:t>
            </w:r>
            <w:r w:rsidR="00000000" w:rsidRPr="00000000" w:rsidDel="00000000">
              <w:rPr>
                <w:rtl w:val="0"/>
              </w:rPr>
              <w:t xml:space="preserve"> 1. panta 2. punktu darbības izslēgtajās nozarēs negūtu labumu no </w:t>
            </w:r>
            <w:r w:rsidR="00000000" w:rsidRPr="00000000" w:rsidDel="00000000">
              <w:rPr>
                <w:i w:val="1"/>
                <w:rtl w:val="0"/>
              </w:rPr>
              <w:t xml:space="preserve">de minimis</w:t>
            </w:r>
            <w:r w:rsidR="00000000" w:rsidRPr="00000000" w:rsidDel="00000000">
              <w:rPr>
                <w:rtl w:val="0"/>
              </w:rPr>
              <w:t xml:space="preserve"> atbalsta, ko piešķir saskaņā ar šiem noteikumiem. Ja finansējuma saņēmējs vai gala labuma guvējs vienlaikus darbojas vienā vai vairākās nozarēs, kas minētas šo noteikumu </w:t>
            </w:r>
            <w:r w:rsidR="00000000" w:rsidRPr="00000000" w:rsidDel="00000000">
              <w:rPr>
                <w:rtl w:val="0"/>
              </w:rPr>
              <w:t xml:space="preserve">80.2.</w:t>
            </w:r>
            <w:r w:rsidR="00000000" w:rsidRPr="00000000" w:rsidDel="00000000">
              <w:rPr>
                <w:rtl w:val="0"/>
              </w:rPr>
              <w:t xml:space="preserve">, </w:t>
            </w:r>
            <w:r w:rsidR="00000000" w:rsidRPr="00000000" w:rsidDel="00000000">
              <w:rPr>
                <w:rtl w:val="0"/>
              </w:rPr>
              <w:t xml:space="preserve">80.3.</w:t>
            </w:r>
            <w:r w:rsidR="00000000" w:rsidRPr="00000000" w:rsidDel="00000000">
              <w:rPr>
                <w:rtl w:val="0"/>
              </w:rPr>
              <w:t xml:space="preserve">, </w:t>
            </w:r>
            <w:r w:rsidR="00000000" w:rsidRPr="00000000" w:rsidDel="00000000">
              <w:rPr>
                <w:rtl w:val="0"/>
              </w:rPr>
              <w:t xml:space="preserve">80.4.</w:t>
            </w:r>
            <w:r w:rsidR="00000000" w:rsidRPr="00000000" w:rsidDel="00000000">
              <w:rPr>
                <w:rtl w:val="0"/>
              </w:rPr>
              <w:t xml:space="preserve">, </w:t>
            </w:r>
            <w:r w:rsidR="00000000" w:rsidRPr="00000000" w:rsidDel="00000000">
              <w:rPr>
                <w:rtl w:val="0"/>
              </w:rPr>
              <w:t xml:space="preserve">80.5.["Kļūda! Atsauces avots nav atrasts."] </w:t>
            </w:r>
            <w:r w:rsidR="00000000" w:rsidRPr="00000000" w:rsidDel="00000000">
              <w:rPr>
                <w:rtl w:val="0"/>
              </w:rPr>
              <w:t xml:space="preserve">, </w:t>
            </w:r>
            <w:r w:rsidR="00000000" w:rsidRPr="00000000" w:rsidDel="00000000">
              <w:rPr>
                <w:rtl w:val="0"/>
              </w:rPr>
              <w:t xml:space="preserve">80.5.</w:t>
            </w:r>
            <w:r w:rsidR="00000000" w:rsidRPr="00000000" w:rsidDel="00000000">
              <w:rPr>
                <w:rtl w:val="0"/>
              </w:rPr>
              <w:t xml:space="preserve">, </w:t>
            </w:r>
            <w:r w:rsidR="00000000" w:rsidRPr="00000000" w:rsidDel="00000000">
              <w:rPr>
                <w:rtl w:val="0"/>
              </w:rPr>
              <w:t xml:space="preserve">80.6.</w:t>
            </w:r>
            <w:r w:rsidR="00000000" w:rsidRPr="00000000" w:rsidDel="00000000">
              <w:rPr>
                <w:rtl w:val="0"/>
              </w:rPr>
              <w:t xml:space="preserve">, </w:t>
            </w:r>
            <w:r w:rsidR="00000000" w:rsidRPr="00000000" w:rsidDel="00000000">
              <w:rPr>
                <w:rtl w:val="0"/>
              </w:rPr>
              <w:t xml:space="preserve">80.7.</w:t>
            </w:r>
            <w:r w:rsidR="00000000" w:rsidRPr="00000000" w:rsidDel="00000000">
              <w:rPr>
                <w:rtl w:val="0"/>
              </w:rPr>
              <w:t xml:space="preserve">, </w:t>
            </w:r>
            <w:r w:rsidR="00000000" w:rsidRPr="00000000" w:rsidDel="00000000">
              <w:rPr>
                <w:rtl w:val="0"/>
              </w:rPr>
              <w:t xml:space="preserve">80.8.</w:t>
            </w:r>
            <w:r w:rsidR="00000000" w:rsidRPr="00000000" w:rsidDel="00000000">
              <w:rPr>
                <w:rtl w:val="0"/>
              </w:rPr>
              <w:t xml:space="preserve"> un </w:t>
            </w:r>
            <w:r w:rsidR="00000000" w:rsidRPr="00000000" w:rsidDel="00000000">
              <w:rPr>
                <w:rtl w:val="0"/>
              </w:rPr>
              <w:t xml:space="preserve">80.9. </w:t>
            </w:r>
            <w:r w:rsidR="00000000" w:rsidRPr="00000000" w:rsidDel="00000000">
              <w:rPr>
                <w:rtl w:val="0"/>
              </w:rPr>
              <w:t xml:space="preserve"> apakšpunktā</w:t>
            </w:r>
            <w:r w:rsidR="00000000" w:rsidRPr="00000000" w:rsidDel="00000000">
              <w:rPr>
                <w:rtl w:val="0"/>
              </w:rPr>
              <w:t xml:space="preserve">, tas nodrošina šo nozaru darbību vai uzskaites nodalīšanu, lai darbības izslēgtajās nozarēs negūtu labumu no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svītrojot dublēto norādi "80.5.["Kļūda! Atsauces avots nav atrasts."]".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r w:rsidR="00000000" w:rsidRPr="00000000" w:rsidDel="00000000">
              <w:rPr>
                <w:vertAlign w:val="superscript"/>
                <w:rtl w:val="0"/>
              </w:rPr>
              <w:t xml:space="preserve">1</w:t>
            </w:r>
            <w:r w:rsidR="00000000" w:rsidRPr="00000000" w:rsidDel="00000000">
              <w:rPr>
                <w:rtl w:val="0"/>
              </w:rPr>
              <w:t xml:space="preserve"> Pieļaujamā finansējuma intensitāte, saņemot atbalstu no Komisijas regulas Nr. 2023/2831, no projekta kopējām izmaksām ir 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r w:rsidR="00000000" w:rsidRPr="00000000" w:rsidDel="00000000">
              <w:rPr>
                <w:vertAlign w:val="superscript"/>
                <w:rtl w:val="0"/>
              </w:rPr>
              <w:t xml:space="preserve">1</w:t>
            </w:r>
            <w:r w:rsidR="00000000" w:rsidRPr="00000000" w:rsidDel="00000000">
              <w:rPr>
                <w:rtl w:val="0"/>
              </w:rPr>
              <w:t xml:space="preserve"> Pieļaujamā finansējuma intensitāte, saņemot atbalstu saskaņā ar Komisijas regulu Nr. 2023/2831, no projekta kopējām izmaksām ir 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atsauci uz Regulu (ES) Nr. 2018/1046 aizstāt ar atsauci uz regulu Nr. 2024/2509, līdzīgi kā cituviet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22.01.2025.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22.01.2025.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Atzinumi_24-TA-2284.docx</dc:title>
</cp:coreProperties>
</file>

<file path=docProps/custom.xml><?xml version="1.0" encoding="utf-8"?>
<Properties xmlns="http://schemas.openxmlformats.org/officeDocument/2006/custom-properties" xmlns:vt="http://schemas.openxmlformats.org/officeDocument/2006/docPropsVTypes"/>
</file>