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Krimināllikumā"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likumprojekta 8. pantā ietvertā Krimināllikuma 101.</w:t>
            </w:r>
            <w:r w:rsidR="00000000" w:rsidRPr="00000000" w:rsidDel="00000000">
              <w:rPr>
                <w:vertAlign w:val="superscript"/>
                <w:rtl w:val="0"/>
              </w:rPr>
              <w:t xml:space="preserve">1</w:t>
            </w:r>
            <w:r w:rsidR="00000000" w:rsidRPr="00000000" w:rsidDel="00000000">
              <w:rPr>
                <w:rtl w:val="0"/>
              </w:rPr>
              <w:t xml:space="preserve"> panta pirmās daļas redakciju, kā arī ar to saistīto otrās daļas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izriet, ka ar Krimināllikuma 101.</w:t>
            </w:r>
            <w:r w:rsidR="00000000" w:rsidRPr="00000000" w:rsidDel="00000000">
              <w:rPr>
                <w:vertAlign w:val="superscript"/>
                <w:rtl w:val="0"/>
              </w:rPr>
              <w:t xml:space="preserve">1</w:t>
            </w:r>
            <w:r w:rsidR="00000000" w:rsidRPr="00000000" w:rsidDel="00000000">
              <w:rPr>
                <w:rtl w:val="0"/>
              </w:rPr>
              <w:t xml:space="preserve"> pantu ir paredzēts pārņemt Direktīvas (ES) 2024/1203 3. panta 2. punkta h) apakšpunktu, nenosakot stingrākas prasības nekā Direktīvā paredzētās. Minētā Direktīvas norma tieši atsaucas uz Eiropas Parlamenta un Padomes Regulas (ES) Nr. 1257/2013 6. panta 2. punkta a) apakšpunktā noteikto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(ES) Nr. 1257/2013 6. panta 2. punkta ievadā nepārprotami ir noteikts šīs prasības subjekts, proti, kuģu īpašnieki, kuriem ir pienākums nodrošināt, ka pārstrādei paredzētie kuģi tiek pārstrādāti tikai Eiropas sarakstā iekļautajās kuģu pārstrādes rūpnīcās. Līdz ar to Direktīvas 3. panta 2. punkta h) apakšpunktā minētā rīcība, skatīta kopsakarā ar Regulu, attiecas tieši uz kuģa īpašnieka (Regulas izpratnē) pienākuma nepildīšanu.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pašreiz piedāvātā Krimināllikuma 101.</w:t>
            </w:r>
            <w:r w:rsidR="00000000" w:rsidRPr="00000000" w:rsidDel="00000000">
              <w:rPr>
                <w:vertAlign w:val="superscript"/>
                <w:rtl w:val="0"/>
              </w:rPr>
              <w:t xml:space="preserve">1</w:t>
            </w:r>
            <w:r w:rsidR="00000000" w:rsidRPr="00000000" w:rsidDel="00000000">
              <w:rPr>
                <w:rtl w:val="0"/>
              </w:rPr>
              <w:t xml:space="preserve"> panta pirmās daļas redakcija (“Par tīšu kuģa pārstrādi…”) pēc sava formulējuma neļauj pietiekami skaidri identificēt noziedzīgā nodarījuma subjektu un var radīt interpretācijas risku, ka atbildība tiek saistīta ar kuģu pārstrādes rūpnīcas vai citu procesā iesaistītu personu darbībām, lai gan Regulas 6. panta 2. punkta a) apakšpunktā noteiktās prasības subjekts ir tikai kuģa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likumprojekta 8. pantā ietvertā Krimināllikuma 101.</w:t>
            </w:r>
            <w:r w:rsidR="00000000" w:rsidRPr="00000000" w:rsidDel="00000000">
              <w:rPr>
                <w:vertAlign w:val="superscript"/>
                <w:rtl w:val="0"/>
              </w:rPr>
              <w:t xml:space="preserve">1</w:t>
            </w:r>
            <w:r w:rsidR="00000000" w:rsidRPr="00000000" w:rsidDel="00000000">
              <w:rPr>
                <w:rtl w:val="0"/>
              </w:rPr>
              <w:t xml:space="preserve"> panta pirmās daļas dispozīciju piedāvātajā redakcijā, akcentējot tieši kuģa nodošanu pārstrādei neatļautā kuģu pārstrādes rūpnīcā.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paskaidrojam, ka Satiksmes ministrijas un VSIA "Latvijas Jūras administrācija" ieskatā, interpretējot Direktīvas (ES) 2024/1203 3. panta 2. punkta h) apakšpunktu kopsakarā ar Eiropas Parlamenta un Padomes Regulas (ES) Nr. 1257/2013 6. panta 2. punkta a) apakšpunktu, atzīstams, ka Direktīvas nolūks nav bijis paredzēt kuģu pārstrādes faktisku uzsākšanu kā obligātu nosacījumu noziedzīga nodarījuma pabeigtībai. Direktīvā ietvertais jēdziens “kuģu pārstrāde” šajā kontekstā ir saprotams kā tādu darbību kopums, kas saistītas ar Regulas 6. panta 2. punkta a) apakšpunktā noteiktā pienākuma izpildi vai neizpildi, proti, kuģa nodošanu pārstrādei neatbilstošā kuģu pārstrādes rūpnīcā.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kuģa nodošanu pārstrādei tādā kuģu pārstrādes rūpnīcā, kurā kuģa nodošana pārstrādei saskaņā ar normatīvajiem aktiem nav atļauta,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pieciem gadiem vai ar īslaicīgu brīvības atņemšanu, vai ar probācijas uzraudzību, vai ar sabiedrisko darbu, vai ar naudas sodu.”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Augstmane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anotācijas 5.4. sadaļā ietvertās atsauces uz likumprojekta normām, nodrošinot to atbilstību aktuālajai saskaņošanai iesniegtajai likumprojekta redakcijai. Vēršam uzmanību, ka attiecībā uz Direktīvas (ES) 2024/1203 3. panta 2. punkta h) apakšpunkta pārņemšanu likumprojekta anotācijā norādītais likumprojekta pants neatbilst šobrīd iesniegtajā redakcijā paredzētajam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Strauberga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25-TA-2349</w:t>
    </w:r>
    <w:r>
      <w:br/>
    </w:r>
    <w:r w:rsidR="00000000" w:rsidRPr="00000000" w:rsidDel="00000000">
      <w:rPr>
        <w:rtl w:val="0"/>
      </w:rPr>
      <w:t xml:space="preserve">Izdrukāts 16.02.2026.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25-TA-2349</w:t>
    </w:r>
    <w:r>
      <w:br/>
    </w:r>
    <w:r w:rsidR="00000000" w:rsidRPr="00000000" w:rsidDel="00000000">
      <w:rPr>
        <w:rtl w:val="0"/>
      </w:rPr>
      <w:t xml:space="preserve">Izdrukāts 16.02.2026.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Atzinumi_25-TA-2349.docx</dc:title>
</cp:coreProperties>
</file>

<file path=docProps/custom.xml><?xml version="1.0" encoding="utf-8"?>
<Properties xmlns="http://schemas.openxmlformats.org/officeDocument/2006/custom-properties" xmlns:vt="http://schemas.openxmlformats.org/officeDocument/2006/docPropsVTypes"/>
</file>