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4.2.3.1. pasākuma "Integrēta "skola-kopiena" sadarbības programma atstumtības riska mazināšanai izglītības iestādēs" (turpmāk – 4.2.3.1. pasākums) atbalsta pieejamību lielākā apjomā mērķa grupas izglītojamiem vispārējās izglītības iestādēs un profesionālās izglītības iestādēs, negaidot Eiropas Komisijas lēmumu par grozījumiem Eiropas Savienības kohēzijas politikas programmā 2021.-2027.gadam attiecībā uz elastības finansējumu, palielināt 4.2.3.1. pasākumam pieejamo kopējo attiecināmo finansējumu, piešķirot 4.2.3.1. pasākumam elastības finansējumu 13 000 831 </w:t>
            </w:r>
            <w:r w:rsidR="00000000" w:rsidRPr="00000000" w:rsidDel="00000000">
              <w:rPr>
                <w:i w:val="1"/>
                <w:rtl w:val="0"/>
              </w:rPr>
              <w:t xml:space="preserve">euro </w:t>
            </w:r>
            <w:r w:rsidR="00000000" w:rsidRPr="00000000" w:rsidDel="00000000">
              <w:rPr>
                <w:rtl w:val="0"/>
              </w:rPr>
              <w:t xml:space="preserve">apmērā: 7 538 110 </w:t>
            </w:r>
            <w:r w:rsidR="00000000" w:rsidRPr="00000000" w:rsidDel="00000000">
              <w:rPr>
                <w:i w:val="1"/>
                <w:rtl w:val="0"/>
              </w:rPr>
              <w:t xml:space="preserve">euro </w:t>
            </w:r>
            <w:r w:rsidR="00000000" w:rsidRPr="00000000" w:rsidDel="00000000">
              <w:rPr>
                <w:rtl w:val="0"/>
              </w:rPr>
              <w:t xml:space="preserve">no 4.2.3.1. pasākumam plānotā elastības finansējuma un 5 462 721 </w:t>
            </w:r>
            <w:r w:rsidR="00000000" w:rsidRPr="00000000" w:rsidDel="00000000">
              <w:rPr>
                <w:i w:val="1"/>
                <w:rtl w:val="0"/>
              </w:rPr>
              <w:t xml:space="preserve">euro </w:t>
            </w:r>
            <w:r w:rsidR="00000000" w:rsidRPr="00000000" w:rsidDel="00000000">
              <w:rPr>
                <w:rtl w:val="0"/>
              </w:rPr>
              <w:t xml:space="preserve">no 4.2.4.2. pasākuma "Atbalsts pieaugušo individuālajās vajadzībās balstītai pieaugušo izglītībai" (turpmāk – 4.2.4.2. pasākums) elastības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2025.gada 7. oktobra sēdes protokola Nr. 41 46.§  “Rīkojuma projekts “Grozījumi Ministru kabineta 2021. gada 16. novembra rīkojumā Nr. 841 “Par Eiropas Savienības kohēzijas politikas programmu 2021.–2027. gadam””” 8.punktam sniegt izvērstu pamatojumu anotācijā MK sēdes protokollēmuma projekta 3.punktam par ātrāku elastības finansējuma izmantošanu, vienlaikus lūdzam precizēt Ministru kabineta sēdes protokollēmuma projekta 3.punkta redakciju, un anotācijas sadaļas Risinājuma apraksts 4.1. apakšpunktu, papildinot to ar elastības finansējuma sadalījumu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4.2.3.1. pasākuma "Integrēta "skola-kopiena" sadarbības programma atstumtības riska mazināšanai izglītības iestādēs" (turpmāk – 4.2.3.1. pasākums) atbalsta pieejamību lielākā apjomā mērķa grupas izglītojamiem vispārējās izglītības iestādēs un profesionālās izglītības iestādēs, atļaut Centrālajai finanšu un līgumu aģentūrai (turpmāk - CFLA) kā Eiropas Savienības fondu sadarbības iestādei palielināt 4.2.3.1. pasākuma ietvaros apstiprinātā projekta Nr.4.2.3.1/1/24/I/001 Eiropas Sociālā fonda Plus (turpmāk – ESF+) finansējumu 11 050 707 euro apmērā un valsts budžeta līdzfinansējumu 1 950 125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visu 4.2.3.1.pasākumam plānoto Eiropas Sociālā fonda Plus (turpmāk – ESF+) elastības finansējumu 6 407 394 euro apmērā, un valsts budžeta līdzfinansējumu 1 130 716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par 4.2.4.2. pasākumam "Atbalsts pieaugušo individuālajās vajadzībās balstītai pieaugušo izglītībai" (turpmāk - 4.2.4.2.pasākums) plānoto ESF+ elastības finansējumu 4 643 313 euro apmērā un valsts budžeta līdzfinansējumu 819 409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netiek saņemts pozitīvs Eiropas Komisijas lēmums par grozījumiem Eiropas Savienības kohēzijas politikas programmā 2021.-2027.gadam attiecībā uz 4.2.3.1. pasākuma un  4.2.4.2. pasākuma elastības finansējuma izmantošanu, Izglītības un zinātnes ministrijai nekavējoties sagatavot un iesniegt izskatīšanai Ministru kabinetā informatīvo ziņojumu par priekšlikumiem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valsts budžeta līdzekļus arī turpmākajos gados, lūdzam precizēt Ministru kabineta sēdes protokollēmuma projekta 4.punkta redakciju, nosakot, ka Izglītības un zinātnes ministrijai jāsagatavo un jāiesniedz izskatīšanai Ministru kabinetā informatīvo ziņojumu ar fiskāli neitrāliem priekšlikumiem par elastības finansējuma izmantošanu, ja netiek saņemts pozitīvs Eiropas Komisijas lēmums par plānotajiem grozījumiem Eiropas Savienības kohēzijas politikas programmā 2021.-2027.gadam. Attiecīgi ir precizējama arī anotācijā iekļautā informācija, kā arī anotācija ir papildināma ar risku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“Problēmas apraksts” ar skaidrojumu, kā tiks nodrošināta demarkācija ar finansēšanas modeli “Programma skolā", t.sk. norādot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informāciju kā elastības finansējuma pārdale ietekmēs 4.2.4.2. pasākuma "Atbalsts pieaugušo individuālajās vajadzībās balstītai pieaugušo izglītībai" ieviešanu un plānoto rādītāju izpildi, t.sk. ņemot vērā Padomes ieteikumus par Latvijas ekonomikas, sociālo, nodarbinātības, strukturālo un budžeta politiku - novērst darbaspēka trūkumu un prasmju nepietiekamību, īpaši STEM jomā un citās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finansējuma sadalījumu 4.2.3.1.pasākuma ietvaros intervences kodos pēc finansējuma pārdales, ņemot vēra, ka no sniegtās informācijas nav viennozīmīgi saprotams, kurš intervences kods tiek saglabāts veicot pārdali. Lūdzam papildināt arī ar informāciju par finansējuma sadalījumu šādos intervences kodos - intervences laukums, finansējuma veids, teritoriālie sasniegšanas mehānismi un dzimumu līdztiesība - , norādot intervences kodus un tam piemērojamo pasākuma fondu finansējuma apjomu dalījumā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5.1.apakšpunktu atbilstoši šīs sadaļas 5.punktā norādītajām finansiālajām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un pieejamais kopējais attiecināmais finansējums ir 28 952 721 </w:t>
            </w:r>
            <w:r w:rsidR="00000000" w:rsidRPr="00000000" w:rsidDel="00000000">
              <w:rPr>
                <w:i w:val="1"/>
                <w:rtl w:val="0"/>
              </w:rPr>
              <w:t xml:space="preserve">euro</w:t>
            </w:r>
            <w:r w:rsidR="00000000" w:rsidRPr="00000000" w:rsidDel="00000000">
              <w:rPr>
                <w:rtl w:val="0"/>
              </w:rPr>
              <w:t xml:space="preserve">, tai skaitā ESF+ finansējums – 24 609 813 ​​​​​​​</w:t>
            </w:r>
            <w:r w:rsidR="00000000" w:rsidRPr="00000000" w:rsidDel="00000000">
              <w:rPr>
                <w:i w:val="1"/>
                <w:rtl w:val="0"/>
              </w:rPr>
              <w:t xml:space="preserve">euro</w:t>
            </w:r>
            <w:r w:rsidR="00000000" w:rsidRPr="00000000" w:rsidDel="00000000">
              <w:rPr>
                <w:rtl w:val="0"/>
              </w:rPr>
              <w:t xml:space="preserve"> un valsts budžeta līdzfinansējums – 4 342 908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nacionālā līdzfinansējuma apjomu par 1 EUR, lai nodrošinātu atbilstību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nosacījumam dalībvalstij nodrošināt līdzfinansējuma likmi 85%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iesūtīt precizētu 4.2.3.specifiskā atbalsta mērķa rādītāju metodoloģijas aprakstu (rādītāju pasi) attiecībā uz finansējuma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un pieejamais kopējais attiecināmais finansējums ir </w:t>
            </w:r>
            <w:r w:rsidR="00000000" w:rsidRPr="00000000" w:rsidDel="00000000">
              <w:rPr>
                <w:b w:val="1"/>
                <w:rtl w:val="0"/>
              </w:rPr>
              <w:t xml:space="preserve">28 952 722</w:t>
            </w:r>
            <w:r w:rsidR="00000000" w:rsidRPr="00000000" w:rsidDel="00000000">
              <w:rPr>
                <w:rtl w:val="0"/>
              </w:rPr>
              <w:t xml:space="preserve"> euro, tai skaitā ESF+ finansējums – 24 609 813 euro un valsts budžeta līdzfinansējums – </w:t>
            </w:r>
            <w:r w:rsidR="00000000" w:rsidRPr="00000000" w:rsidDel="00000000">
              <w:rPr>
                <w:b w:val="1"/>
                <w:rtl w:val="0"/>
              </w:rPr>
              <w:t xml:space="preserve">4 342 909 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483 14. punktā veiktie grozījumi paredz paplašināt sadarbības partneru loku, iesaistot arī privātās vispārējās izglītības un profesionālās izglītības iestādes. Savukārt, MK noteikumu Nr. 483 38.punktā ir noteikts, projekta ietvaros gan finansējuma saņēmējs, gan sadarbības partneris, tai skaitā, privātās vispārējās izglītības iestāde un privātās profesionālās izglītības iestāde īstenos projektu, kas nav saistīts ar saimnieciskās darbības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privātās vispārējās izglītības kopumā var veikt arī tādas darbības, kas uzskatāmas par saimnieciskām darbībām, būtiski ir nodrošināt, ka atbalsts, kas piešķirts šo noteikumu ietvaros veiktajām nesaimnieciskām darbībām, nedod labumu citām iestādes veiktajām saimnieciskām darbībām atbilstoši </w:t>
            </w:r>
            <w:r w:rsidR="00000000" w:rsidRPr="00000000" w:rsidDel="00000000">
              <w:rPr>
                <w:i w:val="1"/>
                <w:rtl w:val="0"/>
              </w:rPr>
              <w:t xml:space="preserve">Komisijas paziņojuma par Līguma par Eiropas Savienības darbību 107. panta 1. punktā minēto valsts atbalsta jēdzienu</w:t>
            </w:r>
            <w:r w:rsidR="00000000" w:rsidRPr="00000000" w:rsidDel="00000000">
              <w:rPr>
                <w:rtl w:val="0"/>
              </w:rPr>
              <w:t xml:space="preserve"> 2.5. sadaļā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atkārtoti lūdzam papildināt noteikumu projektu ar normu, kas paredz sadarbības partnerim, ja tas ārpus šī projekta veic arī saimniecisko darbību, pienākumu nodrošināt atsevišķu projekta ietvaros veikto darījumu ieņēmumu un izdevumu grāmatvedības uzskaiti, darbību un ar to īstenošanu saistīto finanšu plūsmu nodalīšanu, piemēram, papildinot MK noteikumu Nr. 483 33. punkta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atsevišķu grāmatvedības uzskaiti par finansējuma izlietojumu projektā, nodalot projekta ietvaros veiktās darbības no citas saimnieciskās darbības, lai atbalsts, kas nav kvalificējams kā komercdarbības atbalsts, nedod labumu sadarbības partnera veiktajām citām saimnieciskām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