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Vairākām pašvaldībām jau iepriekš ir izstrādāti energosertifikāti pašvaldību ēkām, un  vairākos  sertifikātos nav noteikta prasība par gandrīz nulles enerģijas ēku, jo tie izveidoti pirms minētās prasības piemērošanas. Šādos gadījumos pašvaldībām būtu jāveic atkārtoti energosertificēšanas darbi vai jāpielāgo projektēšanas risinājumi, kas ievērojami palielina administratīvo un finansiālo slogu un kavē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apsvērt iespēju paredzēt izņēmumus, kuriem energosertifikāti ir izstrādāti agrākā periodā. Šāda pieeja būtu īpaši būtiska ēkām, kurās sniedz būtiskus sabiedriskos pakalpojumus,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aprūpes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specializētām sociālās infrastruktūras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šāda elastība veicinātu efektīvāku projektu īstenošanu un ļautu pašvaldībām sasniegt energoefektivitātes mērķus, nepārsniedzot finansiāli saprātīgu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09.12.2025. 07.55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09.12.2025. 07.55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