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mantas atsavināšanas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Iekšlietu ministriju un Finanšu ministriju pirms kāda laika tika īstenots nekustamo īpašumu maiņas darījums, taču šī procesa laikā tika konstatēts, ka iestādēm ir atšķirīga izpratne attiecībā uz Publiskas personas mantas atsavināšanas likuma 8.panta trešās daļas piemērošanu un konkrēti attiecībā uz mantas nosacītās cenas apstiprināšanu, jo no attiecīgās tiesību normas nav viennozīmīgi skaidrs, vai nekustamā īpašuma novērtēšanas komisija apstiprina tikai maināmā nekustamā īpašuma nosacīto cenu, vai nosacīto cenu abiem maiņas darījumā iesaistītajiem īpašumiem, proti, arī tam nekustamajam īpašumam, kas atzīts par līdzvērtīgu maiņas darījuma īstenošanai. Ievērojot minēto, tiesiskās skaidrības nodrošināšanai, lūdzam Finanšu ministriju apsvērt iespēju precizēt Publiskas personas mantas atsavināšanas likuma 8.panta trešās 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mantas atsavināšanas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pirmajā daļā noteikts, ka gadījumā,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Nostiprinot atvasinātas publiskas personas īpašuma tiesības uz nekustamo īpašumu, zemesgrāmatā izdarāma atzīme par Ministru kabineta lēmumā noteiktajiem tiesību aprobežojumiem. Iekšlietu ministrija vairākkārt ir saskārusies ar situācijām, kad atvasinātām  publiskās personām laika gaitā ir zudusi nepieciešamība pēc konkrētā nekustamā īpašuma un arī valsts nav ieinteresēta tā pārņemšanā. Šajos gadījumos tiek gatavots Ministru kabineta rīkojuma projekts par Ministru kabineta noteikto aprobežojumu dzēšanu, dodot atļauju nekustamo īpašumu pārdot. Vienlaikus Iekšlietu ministrija vērš uzmanību, ka likumā nav atrunāta procedūra rīcībai šādos gadījumos. Ievērojot minēto, tiesiskās skaidrības nodrošināšanai, lūdzam Finanšu ministriju apsvērt iespēju papildināt likumu ar attiecīgu regulējumu, lai nodrošinātu iestāžu skaidru un vienveidīgu rīcību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mantas atsavināšanas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visos līmeņos, lūdzam Finanšu ministriju izvērtēt iespēju palielināt kadastrālās vērtības slieksni, līdz kurai lēmumu par nekustamā īpašuma atsavināšanu var pieņemt attiecīgā nekustamā īpašuma valdītājs, nevirzot attiecīgo jautājumu izskatīšanai Ministru kabinetā, palielinot attiecīgo slieksni no 5000 </w:t>
            </w:r>
            <w:r w:rsidR="00000000" w:rsidRPr="00000000" w:rsidDel="00000000">
              <w:rPr>
                <w:i w:val="1"/>
                <w:rtl w:val="0"/>
              </w:rPr>
              <w:t xml:space="preserve">euro</w:t>
            </w:r>
            <w:r w:rsidR="00000000" w:rsidRPr="00000000" w:rsidDel="00000000">
              <w:rPr>
                <w:rtl w:val="0"/>
              </w:rPr>
              <w:t xml:space="preserve"> līdz 10 000 </w:t>
            </w:r>
            <w:r w:rsidR="00000000" w:rsidRPr="00000000" w:rsidDel="00000000">
              <w:rPr>
                <w:i w:val="1"/>
                <w:rtl w:val="0"/>
              </w:rPr>
              <w:t xml:space="preserve">euro</w:t>
            </w:r>
            <w:r w:rsidR="00000000" w:rsidRPr="00000000" w:rsidDel="00000000">
              <w:rPr>
                <w:rtl w:val="0"/>
              </w:rPr>
              <w:t xml:space="preserve">. Šāds slieksnis, piemēram, noteikts arī attiecībā uz piegādes un pakalpojuma līgumiem, kad pasūtītājs var nepiemērot Publisko iepirkumu likumā noteiktās iepirkuma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24-TA-2003</w:t>
    </w:r>
    <w:r>
      <w:br/>
    </w:r>
    <w:r w:rsidR="00000000" w:rsidRPr="00000000" w:rsidDel="00000000">
      <w:rPr>
        <w:rtl w:val="0"/>
      </w:rPr>
      <w:t xml:space="preserve">Izdrukāts 12.11.2024.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24-TA-2003</w:t>
    </w:r>
    <w:r>
      <w:br/>
    </w:r>
    <w:r w:rsidR="00000000" w:rsidRPr="00000000" w:rsidDel="00000000">
      <w:rPr>
        <w:rtl w:val="0"/>
      </w:rPr>
      <w:t xml:space="preserve">Izdrukāts 12.11.2024.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Atzinumi_24-TA-2003.docx</dc:title>
</cp:coreProperties>
</file>

<file path=docProps/custom.xml><?xml version="1.0" encoding="utf-8"?>
<Properties xmlns="http://schemas.openxmlformats.org/officeDocument/2006/custom-properties" xmlns:vt="http://schemas.openxmlformats.org/officeDocument/2006/docPropsVTypes"/>
</file>