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projekta izriet, ka, piešķirot plānoto finansējumu, plānots būtiski palielināt valsts apmaksāto bērnu zobārstniecības pakalpojumu skaitu (no 24 500 pakalpojumiem gadā uz 48 000 pakalpojumiem gadā, t.sk. zobu higiēna). Anotācijā nav vērtēts un sniegts skaidrojums, kādu ietekmi plānotā darbība atstās uz konkurences situāciju nozarē. Konkurences padomes ieskatā, plānotā atvasinātas publiskas personas kapitālsabiedrības - Sabiedrība ar ierobežotu atbildību “Rīgas Stradiņa universitātes Stomatoloģijas institūts” darbība būtu vērtējama kā būtiska darbības paplašināšana. Līdz ar to, pamatojoties uz Publiskas personas kapitāla daļu un kapitālsabiedrību pārvaldības likuma 32.pantu un 7.pantu, kas paredz līdzdalības izvērtējuma/ pārvērtējuma veikšanu, kā arī Valsts pārvaldes iekārtas likuma 87.panta trešo daļu un 88.panta pirmo daļu un otro daļu, KP lūdz VM anotācijā sniegt pamatojumu darbības paplašināšanai, kā arī informāciju par veiktajām konsultācijām un izdarītajiem  secinājumiem līdzdalības pārvērtēšanas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Leite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17.06.2024.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17.06.2024.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Atzinumi_24-TA-1340.docx</dc:title>
</cp:coreProperties>
</file>

<file path=docProps/custom.xml><?xml version="1.0" encoding="utf-8"?>
<Properties xmlns="http://schemas.openxmlformats.org/officeDocument/2006/custom-properties" xmlns:vt="http://schemas.openxmlformats.org/officeDocument/2006/docPropsVTypes"/>
</file>