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1.4.1. specifiskā atbalsta mērķa “Uzlabot digitālo savienojamību” 1.4.1.1. pasākuma “Platjoslas infrastruktūras attīstība (pēdējā jūdze)”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mērķis ir nodrošināt vienlīdzīgu un kvalitatīvu elektronisko sakaru pakalpojumu pieejamību galalietotājiem Latvijas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attiecas tikai uz vienu no elektronisko sakaru pakalpojumu veidiem – interneta piekļuves pakalpojumu, Regulators aicina precizēt gan noteikumu projektu (tai skaitā 3.punktu), gan tā anotāciju un, kur tas nepieciešams, terminu “elektronisko sakaru pakalpojums” aizstāt ar terminu “interneta piekļuves pakalpojums”.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ietvaros līdz 2029.gada 31.decembrim ir sasniedzami šādi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salāgot noteikumu projektu ar citiem elektronisko sakaru nozari regulējošiem normatīvajiem aktiem, Regulators aicina noteikumu projekta 15.punktā vārdu “abonē” aizstāt ar vārdu “izmanto”.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projektu atlases pirmajā kārtā līdz 2029.gada 31.decembrim ir sasniedzami šādi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salāgot noteikumu projektu ar citiem elektronisko sakaru nozari regulējošiem normatīvajiem aktiem, Regulators aicina noteikumu projekta 16.punktā vārdu “abonē” aizstāt ar vārdu “izmanto”.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apliecinājums, ka finansējuma saņēmēja rīcībā ir rādītāju sasniegšanas dokumentārie pierādījumi, tostarp nodošanas – pieņemšanas akti, lejuplādes ātruma mērījumu akti, līgumi par elektronisko sakaru pakalpojumu abonēšanu u.c., un tie tiks uzrādīti pēc pieprasījuma sadarbības iestādei vai auditējošai iestādei visā projekta īstenošanas un pēcuzraudzības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salāgot noteikumu projektu ar citiem elektronisko sakaru nozari regulējošiem normatīvajiem aktiem, Regulators aicina noteikumu projekta 19.3.apakšpunktā vārdu “abonēšanu” aizstāt ar vārdu “sniegšanu”.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45.7. finansējuma saņēmējs un partneris (ja attiecināms) pēc projekta pabeigšanas nodrošina galalietotājiem regulas </w:t>
            </w:r>
            <w:r w:rsidR="00000000" w:rsidRPr="00000000" w:rsidDel="00000000">
              <w:rPr>
                <w:rtl w:val="0"/>
              </w:rPr>
              <w:t xml:space="preserve">651/2014</w:t>
            </w:r>
            <w:r w:rsidR="00000000" w:rsidRPr="00000000" w:rsidDel="00000000">
              <w:rPr>
                <w:rtl w:val="0"/>
              </w:rPr>
              <w:t xml:space="preserve"> 2.panta 139.a punktam atbilstošu ikmēneša abonēšanas cenu par platjoslas pieslēgumu ļoti augstas veiktspējas tīklam, kā arī kopā ar projekta iesniegumu iesniedz sadarbības iestādē apliecinājumu, ka minētā ikmēneša abonēšanas cena nepārsniedz finansējuma saņēmēja parasto piemēroto maksu par platjoslas pieslēgumu, proti, tā neietver nekādas papildu vai neparedzētas izmaksas salīdzinājumā ar standarta komercpraksi.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salāgot noteikumu projektu ar citiem elektronisko sakaru nozari regulējošiem normatīvajiem aktiem, Regulators aicina noteikumu projekta 45.7.apakšpunktā vārdu “abonēšanas” aizstāt ar vārdu “pakalpojuma”.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tā apzīmēšanai anotācijā minēta gan abreviatūra “SPRK”, gan vārds “Regulators”. Regulators aicina lietot tikai vienu no minētajiem apzīmējumiem.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24-TA-593</w:t>
    </w:r>
    <w:r>
      <w:br/>
    </w:r>
    <w:r w:rsidR="00000000" w:rsidRPr="00000000" w:rsidDel="00000000">
      <w:rPr>
        <w:rtl w:val="0"/>
      </w:rPr>
      <w:t xml:space="preserve">Izdrukāts 20.11.2024.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24-TA-593</w:t>
    </w:r>
    <w:r>
      <w:br/>
    </w:r>
    <w:r w:rsidR="00000000" w:rsidRPr="00000000" w:rsidDel="00000000">
      <w:rPr>
        <w:rtl w:val="0"/>
      </w:rPr>
      <w:t xml:space="preserve">Izdrukāts 20.11.2024.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Atzinumi_24-TA-593.docx</dc:title>
</cp:coreProperties>
</file>

<file path=docProps/custom.xml><?xml version="1.0" encoding="utf-8"?>
<Properties xmlns="http://schemas.openxmlformats.org/officeDocument/2006/custom-properties" xmlns:vt="http://schemas.openxmlformats.org/officeDocument/2006/docPropsVTypes"/>
</file>