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skaidrojumu, vai šobrīd jau ir vērtēta vienotā būves reģistrācijas procesa īstenošana attiecībā uz būvēm, kas būvētas pirms BIS ieviešanas un kurām nav veikta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valdījumā un VAS "Valsts nekustamie īpašumi" pārvaldīšanā nereti nonāk būves, kuras atzītas par valstij piekritīgo bezīpašnieka, bezmantinieka mantu vai valsts labā konfiscēto mantu, un šādos gadījumos, lai būvi varētu reģistrēt zemesgrāmatā, vispirms tiek iegūta informācija par būves lietošanas veidu un pēc tam veikta būvju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praksē tiek saņemti arī būvvalžu atteikumi izsniegt izziņas par būves lietošanas veidu, būtu jāizvērtē iespēja noteikt būvvaldei pienākumu apstiprināt būvju lietošanas veidus, tādējādi atrisinot situācijas, kad valstij piekritīgās būves, kurām sākotnēji nav veikta kadastrālā uzmērīšana, būtu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21.09.2023.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21.09.2023.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