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22-TA-2427: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6. aprīļa noteikumos Nr. 343 "Noteikumi par lielgabarīta un smagsvara pārvadājumiem"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papildināt ar 13.</w:t>
            </w:r>
            <w:r w:rsidR="00000000" w:rsidRPr="00000000" w:rsidDel="00000000">
              <w:rPr>
                <w:vertAlign w:val="superscript"/>
                <w:rtl w:val="0"/>
              </w:rPr>
              <w:t xml:space="preserve">2</w:t>
            </w:r>
            <w:r w:rsidR="00000000" w:rsidRPr="00000000" w:rsidDel="00000000">
              <w:rPr>
                <w:rtl w:val="0"/>
              </w:rPr>
              <w:t xml:space="preserve"> 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projekta 13.</w:t>
            </w:r>
            <w:r w:rsidR="00000000" w:rsidRPr="00000000" w:rsidDel="00000000">
              <w:rPr>
                <w:vertAlign w:val="superscript"/>
                <w:rtl w:val="0"/>
              </w:rPr>
              <w:t xml:space="preserve">2 </w:t>
            </w:r>
            <w:r w:rsidR="00000000" w:rsidRPr="00000000" w:rsidDel="00000000">
              <w:rPr>
                <w:rtl w:val="0"/>
              </w:rPr>
              <w:t xml:space="preserve">punktā noteikts, ka ir jāapmaksā valsts nodeva par atļauju un citi maksājumi, kas saistīti ar atļaujas izsniegšanu. Neskaidrību rada, kas ir šie "citi maksājumi", proti, nevar vienlaikus būt vairāku veidu maksājumi par atļaujas izsniegšanu. Ja arī gadījumā, lai izsniegtu konkrēto atļauju ir veicamas vairākas darbības, tas ir izdarāms viena procesa ietvaros un par to ir iekasējams viena veida maksājums, kas šajā gadījumā ir valsts nodeva. Tādējādi lūdzam precizēt norādīto normu, vai nu svītrojot vārdus "un citi maksājumi, kas saistīti ar atļaujas izsniegšanu", vai arī precizēt šos citus maksājumus, ņemot vērā, ka tie nevar būt saistīti ar atļaujas izsniegšanu, kas ir valsts nodevas objekts.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Linards Susējs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21.12.2022. 11.56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22-TA-2427</w:t>
    </w:r>
    <w:r>
      <w:br/>
    </w:r>
    <w:r w:rsidR="00000000" w:rsidRPr="00000000" w:rsidDel="00000000">
      <w:rPr>
        <w:rtl w:val="0"/>
      </w:rPr>
      <w:t xml:space="preserve">Izdrukāts 21.12.2022. 11.56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Atzinumi_22-TA-2427.docx</dc:title>
</cp:coreProperties>
</file>

<file path=docProps/custom.xml><?xml version="1.0" encoding="utf-8"?>
<Properties xmlns="http://schemas.openxmlformats.org/officeDocument/2006/custom-properties" xmlns:vt="http://schemas.openxmlformats.org/officeDocument/2006/docPropsVTypes"/>
</file>