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projekta (turpmāk – projekts) iesniedzējam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IV nodaļā ietverti projekta īstenošanas nosacījumi, nevis prasības finansējuma saņēmējam, lūdzam svītrot noteikumu projekta 1.4. apakšpunktā vārdus "un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ietvaros plānotais kopējais finansējums ir 1 305 000 euro (tai skaitā elastības finansējuma apjoms 205 832 euro), tai skaitā Eiropas Reģionālās attīstības fonda finansējums 1 109 250 euro (tai skaitā elastības finansējuma apjoms 174 956 euro) un valsts budžeta līdzfinansējums 195 750 euro (tai skaitā elastības finansējuma apjoms 30 876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 punktā iekļauto pasākuma finansējumu, proti, kopējais elastības finansējums 205 830 euro, valsts budžeta elastības finansējums 30 874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anotācijas 3. sadaļas "Tiesību akta projekta ietekme uz valsts budžetu un pašvaldību budžetiem" 6.punktā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ierobežotas projektu iesniegumu atlases veidā vienā projektu iesniegumu atlasē un pasākuma atbalsts tiek sniegts granta veidā. Projektu iesniegumā pasākuma īstenošanai plāno ne vairāk kā 1 099 168 euro, tai skaitā Eiropas Reģionālās attīstības fonda finansējums 934 294 euro apmērā, valsts budžeta līdzfinansējums - 164 874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pasākumam pieejamo atbalsta summu, proti, 1 099 170 euro, t.sk. valsts budžeta finansējums 164 876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transporta pakalpojumu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metodikas nosaukumu uz "Vienas vienības izmaksu standarta likmes aprēķina un piemērošanas metodika </w:t>
            </w:r>
            <w:r w:rsidR="00000000" w:rsidRPr="00000000" w:rsidDel="00000000">
              <w:rPr>
                <w:u w:val="single"/>
                <w:rtl w:val="0"/>
              </w:rPr>
              <w:t xml:space="preserve">1 km</w:t>
            </w:r>
            <w:r w:rsidR="00000000" w:rsidRPr="00000000" w:rsidDel="00000000">
              <w:rPr>
                <w:rtl w:val="0"/>
              </w:rPr>
              <w:t xml:space="preserve"> izmaksām darbības programmas "Izaugsme un nodarbinātība" un Eiropas Savienības kohēzijas politikas programmas 2021.–2027. gadam īstenošanai", tā kā likmes par degvielas izmaksām vieglajam transportlīdzeklim un reģionālā sabiedriskā un vietējā sabiedriskā transporta izmaksām ir noteiktas šajā metodikā.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nodoklis, kas tiešā veidā saistīts ar projektu,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iepriekšējā skaņošanas reizē izteikto vadošās iestādes iebildumu, kur t.sk. tika lūgts: "Attiecīgi, ja izvērtējuma rezultātā tiks piemērots vienkāršots PVN līdzekļu attiecināšanas modelis, lūdzam anotācijā papildināt ar skaidrojumu, norādot, ka tiks nodrošināts dubultā finansējuma novēršanas risks.", lūdzam papildināt anotāciju ar skaidrojumu, ka attiecībā uz Pievienotās vērtības nodokli tiks nodrošināts dubultā finansējuma novēršanas risks projektiem, kuru kopējās izmaksas ir mazākas par 5 milj.EUR (ieskaitot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projekta IV nodaļu ar normu, kas paredz,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attiecīgo prasību ievērošana ir finansējuma saņēmēja tiešais pienākums, kas izriet no finansējuma saņēmēja pamata funkcijām, īstenojot projektu, tādējādi tas nosakāms normatīvajā aktā - Ministru kabineta noteikumos par specifiskā atbalsta mērķa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protokollēmumā (prot. Nr. 36 85. § 3. punkts) noteikto, aicinām izvērtēt un, ja attiecināms, papildināt noteikumu projektu ar pienākumu finansējuma saņēmējam veikt izmaksu un ieguvumu analīzi. Vienlaikus lūdzam papildināt anotāciju ar skaidrojumu risinājuma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un lūdzam sniegt skaidrojumu pēc kāda principa tiks sniegts atbalsts publiskā sektora iestādēm, proti, kādas iestādes tiks aicinātas dalībai inovāciju laboratorijā vai arī papildināt anotāciju ar informāciju, kādā dokumentā (piemēram, atsevišķā MK rīkojumā) tiks noteikti plānotie ideju autori, t.sk. anotācijā jābūt ietvertai informācijai, kas pamato izvēlēto ideju loku (piemēram, informācija par veiktu priekšatlasi). Lūdzam sniegt skaidrojumu, vai tiks īstenots ideju konkurss un atbalsts tiks sniegts tikai labākajiem projektiem vai kādā veidā tiks atlasītas 20 iestādes, kuras saņems atbalstu (saskaņā ar plānoto rādītāju). Vēršam uzmanību, ka šāda veida informācija veicina ES fondu ietvaros veikto investīciju caurskatāmību, ieguldījumu izsekojamību, palielina uzraudzības efektivitāti, kā arī atvieglo fondu plānošanas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"inovāciju sprinta" jēdziena būtību, jo šobrīd nav skaidrs, kas ar to ir domāts.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iekļauto skaidrojumu attiecībā uz pasākuma rezultātu uzturēšanu un attīstīšanu, lūdzam papildināt anotāciju ar informāciju, ka pēc projekta beigām, plānots nodrošināt pasākuma rezultātu ilgtspēju sadarbībā ar VARAM rodot finansēšanas iespējas laboratorijā izietajiem sprintiem, un nodrošināt izvēlēto prototipu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27.07.2023.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27.07.2023.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Atzinumi_23-TA-994.docx</dc:title>
</cp:coreProperties>
</file>

<file path=docProps/custom.xml><?xml version="1.0" encoding="utf-8"?>
<Properties xmlns="http://schemas.openxmlformats.org/officeDocument/2006/custom-properties" xmlns:vt="http://schemas.openxmlformats.org/officeDocument/2006/docPropsVTypes"/>
</file>