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26. novembra noteikumos Nr. 1354 "Kārtība,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konkrētie grozījumi ir saistīti ar projektu Rail Baltica, lai neaizkavētu projekta pieņemšanu, lūdzam pievienot šādu protokollēmuma punktu. Vienlaikus vēršam uzmanību uz faktu, ka šāda uzdevuma pēc iespējas ātrāka izpilde sekmēs arī Rail Baltica projekta vajadzībām esošo nekustamo īpašumu pārņemšanu, jo varēs ne tikai rīkoties ar nekustamo īpašumu, kas atzīts par valstij piekritīgo bezmantinieka vai bezīpašnieka nekustamo īpašumu, bet tiks nodrošināts, ka valsts laicīgi uzsāk darbības, kas nepieciešamas, lai nekustamais īpašums tiktu atzīts par valstij piekritīgo bezmantinieka vai bezīpašnieka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atzīst par bezmantinieka mantu (nekustamo īpašumu) ierosinot mantošanas procedūru, tā kā bezmantinieka mantai nav mantinieku, kas citos gadījumos ierosina mantošanas procedūras uzsākšanu, bet valsts ilgstoši nerūpējas par sev piekritīgajiem nekustamajiem īpašumiem, lai gan valsts informāciju sistēmās ir ziņas par Latvijas valstspiederīgā nāves reģistrācijas faktu (Fizisko personu reģistrs), kā arī ir ziņas vai konkrētajam nelaiķim Zemesgrāmatā vai Nekustamā īpašuma valsts kadastra reģistrā ir reģistrēti nekustamie īpašumi, t.sk. valsts neierosina procedūru, kuras rezultātā nekustamos īpašumus atzīst par bezmantinieka mantu, tādējādi gadiem ilgi šie nekustamie īpašumi neatgriežas civiltiesiskajā apritē, kā arī pastāv augsts risks, ka šādus īpašumus izkrāpj un tālāk pārdod, par ko liecina arī publiski izskanējušās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Bezīpašnieka nekustamo īpašumu identifikāciju jau šobrīd ir iespējams pilnībā automatizēt, t.sk. veicot ierakstus Zemesgrāmatā un Nekustamā īpašuma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Bezmantinieka mantas identifikācijai ir nepieciešams nodrošināt mantošanas procesa uzsākšanu, tā kā ir iespējams pilnībā automatizēti savietot Latvijas valsts piederīgā nāves fakta reģistrācijas faktu ar personai Zemesgrāmatā vai Nekustamā īpašuma valsts kadastra reģistrā reģistrētajiem nekustamajiem īpašumiem, tad ir jāparedz arī tālākās procedūras, kurās automatizēti vai manuāli valsts nodrošina, ka tiek laicīgi identificēti bezmantinieka nekustamie īpašumi, kas ir valstij piekritīgā manta un laicīgi tiek veiktas tālākās darbības ar šiem nekustamajiem īpašumiem. Kurai valsts institūcijai tiek noteikti konkrēti pienākumi ir vērtējams, bet nav pieļaujama esošās situācijas turpināšanās, kad nav skaidri noteikts, kura valsts institūcija ir atbildīga par valstij piekritīgo nekustamo īpašumu laicīgu identifikāciju.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sešu mēnešu laikā iesniegt noteiktā kārtībā Ministru kabinetā grozījumus šajos noteikumos, paredzot  kārtību, kas nodrošinās bezmantinieka nekustamo īpašumu atzīšanas </w:t>
            </w:r>
            <w:r w:rsidR="00000000" w:rsidRPr="00000000" w:rsidDel="00000000">
              <w:rPr>
                <w:u w:val="single"/>
                <w:rtl w:val="0"/>
              </w:rPr>
              <w:t xml:space="preserve">procesa</w:t>
            </w:r>
            <w:r w:rsidR="00000000" w:rsidRPr="00000000" w:rsidDel="00000000">
              <w:rPr>
                <w:rtl w:val="0"/>
              </w:rPr>
              <w:t xml:space="preserve"> par valstij piekritīgo mantu </w:t>
            </w:r>
            <w:r w:rsidR="00000000" w:rsidRPr="00000000" w:rsidDel="00000000">
              <w:rPr>
                <w:u w:val="single"/>
                <w:rtl w:val="0"/>
              </w:rPr>
              <w:t xml:space="preserve">uzsākšanu</w:t>
            </w:r>
            <w:r w:rsidR="00000000" w:rsidRPr="00000000" w:rsidDel="00000000">
              <w:rPr>
                <w:rtl w:val="0"/>
              </w:rPr>
              <w:t xml:space="preserve">, nodrošinās bezīpašnieka nekustamo īpašumu identifikāciju kā valstij piekritīgo mantu."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Atzinumi_23-TA-2099.docx</dc:title>
</cp:coreProperties>
</file>

<file path=docProps/custom.xml><?xml version="1.0" encoding="utf-8"?>
<Properties xmlns="http://schemas.openxmlformats.org/officeDocument/2006/custom-properties" xmlns:vt="http://schemas.openxmlformats.org/officeDocument/2006/docPropsVTypes"/>
</file>