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14.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nozaru ministriju viedoklim jābūt primāram attiecībā uz tās specializēto atašeju pārcelšanu. Ņemot vērā minēto, rosinām veikt grozījumus arī 14. panta (1</w:t>
            </w:r>
            <w:r w:rsidR="00000000" w:rsidRPr="00000000" w:rsidDel="00000000">
              <w:rPr>
                <w:vertAlign w:val="superscript"/>
                <w:rtl w:val="0"/>
              </w:rPr>
              <w:t xml:space="preserve">1</w:t>
            </w:r>
            <w:r w:rsidR="00000000" w:rsidRPr="00000000" w:rsidDel="00000000">
              <w:rPr>
                <w:rtl w:val="0"/>
              </w:rPr>
              <w:t xml:space="preserve">) daļā, papildinot to ar teikumu, ka attiecībā uz 11. panta ceturtajā daļā minētajiem specializētajiem atašejiem ārlietu ministrs nosaka īsāku dienesta laiku Latvijā, ja to, pamatojot lēmumu, lūdz nozares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Diplomātu var nosūtīt pildīt diplomātisko un konsulāro dienestu ārvalstīs ne ātrāk kā gadu pēc atgriešanās no iepriekšējā dienesta ārvalstīs, ja tas nav bijis ilgāks par pieciem gadiem, vai ne ātrāk kā divus gadus pēc atgriešanās no iepriekšējā dienesta ārvalstīs, ja tas bijis ilgāks par pieciem gadiem. Izņēmuma gadījumos, ja nav iespējams nosūtīt citu diplomātu, ar ārlietu ministra piekrišanu diplomātam pēc atgriešanās no iepriekšējās dienesta vietas ārvalstīs var noteikt īsāku dienesta laiku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11. panta ceturtajā daļā minētajiem specializētajiem atašejiem ārlietu ministrs nosaka īsāku dienesta laiku Latvijā, ja to, pamatojot lēmumu, lūdz nozares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07.05.2026. 13.28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07.05.2026. 13.28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