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tiesiskās skaidrības labad papildināt anotācijas 1.sadaļas 1.3.punktu “Problēmas apraksts” ar paskaidrojumu par Autopārvadājumu likuma  35.pantā 6.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daļā veiktā grozījuma būtību un mērķi, ņemot vērā, ka noteikumu 14.punkts tiek svītrots, sasaistot to ar konkrētiem grozījumiem minētajā Autopārvadājumu likuma normā (savukārt likumprojekta anotācijā pamatojums konkrētajam grozījumam nav rodams).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Voiniča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06.12.2022.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06.12.2022.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